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B0D6F5">
      <w:pPr>
        <w:pStyle w:val="6"/>
        <w:numPr>
          <w:numId w:val="0"/>
        </w:numPr>
        <w:ind w:left="281" w:leftChars="0"/>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rPr>
        <w:t>湛江中心人民医院医护系统配套专网项目</w:t>
      </w:r>
      <w:r>
        <w:rPr>
          <w:rFonts w:hint="eastAsia" w:ascii="仿宋" w:hAnsi="仿宋" w:eastAsia="仿宋" w:cs="仿宋"/>
          <w:b/>
          <w:bCs/>
          <w:sz w:val="28"/>
          <w:szCs w:val="28"/>
          <w:lang w:eastAsia="zh-CN"/>
        </w:rPr>
        <w:t>挂网需求</w:t>
      </w:r>
    </w:p>
    <w:p w14:paraId="2ED8212F">
      <w:pPr>
        <w:pStyle w:val="6"/>
        <w:numPr>
          <w:numId w:val="0"/>
        </w:numPr>
        <w:rPr>
          <w:rFonts w:hint="eastAsia" w:ascii="仿宋" w:hAnsi="仿宋" w:eastAsia="仿宋" w:cs="仿宋"/>
          <w:b/>
          <w:bCs/>
          <w:sz w:val="28"/>
          <w:szCs w:val="28"/>
        </w:rPr>
      </w:pPr>
    </w:p>
    <w:p w14:paraId="03B4D593">
      <w:pPr>
        <w:pStyle w:val="6"/>
        <w:numPr>
          <w:ilvl w:val="0"/>
          <w:numId w:val="1"/>
        </w:numPr>
        <w:rPr>
          <w:rFonts w:hint="eastAsia" w:ascii="仿宋" w:hAnsi="仿宋" w:eastAsia="仿宋" w:cs="仿宋"/>
          <w:b/>
          <w:bCs/>
          <w:sz w:val="28"/>
          <w:szCs w:val="28"/>
        </w:rPr>
      </w:pPr>
      <w:r>
        <w:rPr>
          <w:rFonts w:hint="eastAsia" w:ascii="仿宋" w:hAnsi="仿宋" w:eastAsia="仿宋" w:cs="仿宋"/>
          <w:b/>
          <w:bCs/>
          <w:sz w:val="28"/>
          <w:szCs w:val="28"/>
        </w:rPr>
        <w:t>拟采购具体内容：</w:t>
      </w:r>
    </w:p>
    <w:tbl>
      <w:tblPr>
        <w:tblStyle w:val="3"/>
        <w:tblW w:w="7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8"/>
        <w:gridCol w:w="2692"/>
        <w:gridCol w:w="1418"/>
        <w:gridCol w:w="1438"/>
      </w:tblGrid>
      <w:tr w14:paraId="7B53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2418" w:type="dxa"/>
            <w:vAlign w:val="center"/>
          </w:tcPr>
          <w:p w14:paraId="4B7226F8">
            <w:pPr>
              <w:widowControl/>
              <w:spacing w:line="360" w:lineRule="auto"/>
              <w:jc w:val="center"/>
              <w:rPr>
                <w:rFonts w:hint="eastAsia" w:ascii="仿宋" w:hAnsi="仿宋" w:eastAsia="仿宋" w:cs="仿宋"/>
                <w:sz w:val="28"/>
                <w:szCs w:val="28"/>
              </w:rPr>
            </w:pPr>
            <w:r>
              <w:rPr>
                <w:rFonts w:hint="eastAsia" w:ascii="仿宋" w:hAnsi="仿宋" w:eastAsia="仿宋" w:cs="仿宋"/>
                <w:sz w:val="28"/>
                <w:szCs w:val="28"/>
              </w:rPr>
              <w:t>项目名称</w:t>
            </w:r>
          </w:p>
        </w:tc>
        <w:tc>
          <w:tcPr>
            <w:tcW w:w="2692" w:type="dxa"/>
            <w:vAlign w:val="center"/>
          </w:tcPr>
          <w:p w14:paraId="754DC544">
            <w:pPr>
              <w:widowControl/>
              <w:spacing w:line="360" w:lineRule="auto"/>
              <w:jc w:val="center"/>
              <w:rPr>
                <w:rFonts w:hint="eastAsia" w:ascii="仿宋" w:hAnsi="仿宋" w:eastAsia="仿宋" w:cs="仿宋"/>
                <w:sz w:val="28"/>
                <w:szCs w:val="28"/>
              </w:rPr>
            </w:pPr>
            <w:r>
              <w:rPr>
                <w:rFonts w:hint="eastAsia" w:ascii="仿宋" w:hAnsi="仿宋" w:eastAsia="仿宋" w:cs="仿宋"/>
                <w:sz w:val="28"/>
                <w:szCs w:val="28"/>
              </w:rPr>
              <w:t>具体内容</w:t>
            </w:r>
          </w:p>
        </w:tc>
        <w:tc>
          <w:tcPr>
            <w:tcW w:w="1418" w:type="dxa"/>
            <w:vAlign w:val="center"/>
          </w:tcPr>
          <w:p w14:paraId="4395C55A">
            <w:pPr>
              <w:widowControl/>
              <w:spacing w:line="360" w:lineRule="auto"/>
              <w:jc w:val="center"/>
              <w:rPr>
                <w:rFonts w:hint="eastAsia" w:ascii="仿宋" w:hAnsi="仿宋" w:eastAsia="仿宋" w:cs="仿宋"/>
                <w:sz w:val="28"/>
                <w:szCs w:val="28"/>
              </w:rPr>
            </w:pPr>
            <w:r>
              <w:rPr>
                <w:rFonts w:hint="eastAsia" w:ascii="仿宋" w:hAnsi="仿宋" w:eastAsia="仿宋" w:cs="仿宋"/>
                <w:sz w:val="28"/>
                <w:szCs w:val="28"/>
              </w:rPr>
              <w:t>数量</w:t>
            </w:r>
          </w:p>
        </w:tc>
        <w:tc>
          <w:tcPr>
            <w:tcW w:w="1438" w:type="dxa"/>
            <w:vAlign w:val="center"/>
          </w:tcPr>
          <w:p w14:paraId="63C0ED14">
            <w:pPr>
              <w:widowControl/>
              <w:spacing w:line="360" w:lineRule="auto"/>
              <w:jc w:val="center"/>
              <w:rPr>
                <w:rFonts w:hint="eastAsia" w:ascii="仿宋" w:hAnsi="仿宋" w:eastAsia="仿宋" w:cs="仿宋"/>
                <w:sz w:val="28"/>
                <w:szCs w:val="28"/>
              </w:rPr>
            </w:pPr>
            <w:r>
              <w:rPr>
                <w:rFonts w:hint="eastAsia" w:ascii="仿宋" w:hAnsi="仿宋" w:eastAsia="仿宋" w:cs="仿宋"/>
                <w:sz w:val="28"/>
                <w:szCs w:val="28"/>
              </w:rPr>
              <w:t>服务月份</w:t>
            </w:r>
          </w:p>
        </w:tc>
      </w:tr>
      <w:tr w14:paraId="3341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418" w:type="dxa"/>
            <w:vMerge w:val="restart"/>
            <w:vAlign w:val="center"/>
          </w:tcPr>
          <w:p w14:paraId="5FCC1859">
            <w:pPr>
              <w:widowControl/>
              <w:spacing w:line="360" w:lineRule="auto"/>
              <w:rPr>
                <w:rFonts w:hint="eastAsia" w:ascii="仿宋" w:hAnsi="仿宋" w:eastAsia="仿宋" w:cs="仿宋"/>
                <w:sz w:val="28"/>
                <w:szCs w:val="28"/>
              </w:rPr>
            </w:pPr>
            <w:r>
              <w:rPr>
                <w:rFonts w:hint="eastAsia" w:ascii="仿宋" w:hAnsi="仿宋" w:eastAsia="仿宋" w:cs="仿宋"/>
                <w:sz w:val="28"/>
                <w:szCs w:val="28"/>
              </w:rPr>
              <w:t>移动医护系统配套专网项目</w:t>
            </w:r>
          </w:p>
        </w:tc>
        <w:tc>
          <w:tcPr>
            <w:tcW w:w="2692" w:type="dxa"/>
          </w:tcPr>
          <w:p w14:paraId="33CEF85B">
            <w:pPr>
              <w:widowControl/>
              <w:spacing w:line="360" w:lineRule="auto"/>
              <w:rPr>
                <w:rFonts w:hint="eastAsia" w:ascii="仿宋" w:hAnsi="仿宋" w:eastAsia="仿宋" w:cs="仿宋"/>
                <w:sz w:val="28"/>
                <w:szCs w:val="28"/>
              </w:rPr>
            </w:pPr>
            <w:r>
              <w:rPr>
                <w:rFonts w:hint="eastAsia" w:ascii="仿宋" w:hAnsi="仿宋" w:eastAsia="仿宋" w:cs="仿宋"/>
                <w:sz w:val="28"/>
                <w:szCs w:val="28"/>
              </w:rPr>
              <w:t>移动医护系统配套流量卡</w:t>
            </w:r>
          </w:p>
        </w:tc>
        <w:tc>
          <w:tcPr>
            <w:tcW w:w="1418" w:type="dxa"/>
            <w:vAlign w:val="center"/>
          </w:tcPr>
          <w:p w14:paraId="261A95B9">
            <w:pPr>
              <w:widowControl/>
              <w:spacing w:line="360" w:lineRule="auto"/>
              <w:jc w:val="center"/>
              <w:rPr>
                <w:rFonts w:hint="eastAsia" w:ascii="仿宋" w:hAnsi="仿宋" w:eastAsia="仿宋" w:cs="仿宋"/>
                <w:sz w:val="28"/>
                <w:szCs w:val="28"/>
              </w:rPr>
            </w:pPr>
            <w:r>
              <w:rPr>
                <w:rFonts w:hint="eastAsia" w:ascii="仿宋" w:hAnsi="仿宋" w:eastAsia="仿宋" w:cs="仿宋"/>
                <w:sz w:val="28"/>
                <w:szCs w:val="28"/>
              </w:rPr>
              <w:t>1200</w:t>
            </w:r>
          </w:p>
        </w:tc>
        <w:tc>
          <w:tcPr>
            <w:tcW w:w="1438" w:type="dxa"/>
            <w:vAlign w:val="center"/>
          </w:tcPr>
          <w:p w14:paraId="64EEABCD">
            <w:pPr>
              <w:widowControl/>
              <w:spacing w:line="360" w:lineRule="auto"/>
              <w:jc w:val="center"/>
              <w:rPr>
                <w:rFonts w:hint="eastAsia" w:ascii="仿宋" w:hAnsi="仿宋" w:eastAsia="仿宋" w:cs="仿宋"/>
                <w:sz w:val="28"/>
                <w:szCs w:val="28"/>
              </w:rPr>
            </w:pPr>
            <w:r>
              <w:rPr>
                <w:rFonts w:hint="eastAsia" w:ascii="仿宋" w:hAnsi="仿宋" w:eastAsia="仿宋" w:cs="仿宋"/>
                <w:sz w:val="28"/>
                <w:szCs w:val="28"/>
              </w:rPr>
              <w:t>12个月</w:t>
            </w:r>
          </w:p>
        </w:tc>
      </w:tr>
      <w:tr w14:paraId="0D4AA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418" w:type="dxa"/>
            <w:vMerge w:val="continue"/>
            <w:vAlign w:val="center"/>
          </w:tcPr>
          <w:p w14:paraId="7EDF4652">
            <w:pPr>
              <w:widowControl/>
              <w:spacing w:line="360" w:lineRule="auto"/>
              <w:rPr>
                <w:rFonts w:hint="eastAsia" w:ascii="仿宋" w:hAnsi="仿宋" w:eastAsia="仿宋" w:cs="仿宋"/>
                <w:sz w:val="28"/>
                <w:szCs w:val="28"/>
              </w:rPr>
            </w:pPr>
          </w:p>
        </w:tc>
        <w:tc>
          <w:tcPr>
            <w:tcW w:w="2692" w:type="dxa"/>
          </w:tcPr>
          <w:p w14:paraId="5699A987">
            <w:pPr>
              <w:widowControl/>
              <w:spacing w:line="360" w:lineRule="auto"/>
              <w:rPr>
                <w:rFonts w:hint="eastAsia" w:ascii="仿宋" w:hAnsi="仿宋" w:eastAsia="仿宋" w:cs="仿宋"/>
                <w:sz w:val="28"/>
                <w:szCs w:val="28"/>
              </w:rPr>
            </w:pPr>
            <w:r>
              <w:rPr>
                <w:rFonts w:hint="eastAsia" w:ascii="仿宋" w:hAnsi="仿宋" w:eastAsia="仿宋" w:cs="仿宋"/>
                <w:sz w:val="28"/>
                <w:szCs w:val="28"/>
              </w:rPr>
              <w:t>移动医护系统配套 VPDN数据专线(200M/条)</w:t>
            </w:r>
          </w:p>
        </w:tc>
        <w:tc>
          <w:tcPr>
            <w:tcW w:w="1418" w:type="dxa"/>
            <w:vAlign w:val="center"/>
          </w:tcPr>
          <w:p w14:paraId="6009960E">
            <w:pPr>
              <w:widowControl/>
              <w:spacing w:line="360" w:lineRule="auto"/>
              <w:jc w:val="center"/>
              <w:rPr>
                <w:rFonts w:hint="eastAsia" w:ascii="仿宋" w:hAnsi="仿宋" w:eastAsia="仿宋" w:cs="仿宋"/>
                <w:sz w:val="28"/>
                <w:szCs w:val="28"/>
              </w:rPr>
            </w:pPr>
            <w:r>
              <w:rPr>
                <w:rFonts w:hint="eastAsia" w:ascii="仿宋" w:hAnsi="仿宋" w:eastAsia="仿宋" w:cs="仿宋"/>
                <w:sz w:val="28"/>
                <w:szCs w:val="28"/>
              </w:rPr>
              <w:t>2</w:t>
            </w:r>
          </w:p>
        </w:tc>
        <w:tc>
          <w:tcPr>
            <w:tcW w:w="1438" w:type="dxa"/>
            <w:vAlign w:val="center"/>
          </w:tcPr>
          <w:p w14:paraId="6ACE7425">
            <w:pPr>
              <w:widowControl/>
              <w:spacing w:line="360" w:lineRule="auto"/>
              <w:jc w:val="center"/>
              <w:rPr>
                <w:rFonts w:hint="eastAsia" w:ascii="仿宋" w:hAnsi="仿宋" w:eastAsia="仿宋" w:cs="仿宋"/>
                <w:sz w:val="28"/>
                <w:szCs w:val="28"/>
              </w:rPr>
            </w:pPr>
            <w:r>
              <w:rPr>
                <w:rFonts w:hint="eastAsia" w:ascii="仿宋" w:hAnsi="仿宋" w:eastAsia="仿宋" w:cs="仿宋"/>
                <w:sz w:val="28"/>
                <w:szCs w:val="28"/>
              </w:rPr>
              <w:t>12个月</w:t>
            </w:r>
          </w:p>
        </w:tc>
      </w:tr>
    </w:tbl>
    <w:p w14:paraId="02F0F955">
      <w:pPr>
        <w:rPr>
          <w:rFonts w:hint="eastAsia" w:ascii="仿宋" w:hAnsi="仿宋" w:eastAsia="仿宋" w:cs="仿宋"/>
          <w:sz w:val="28"/>
          <w:szCs w:val="28"/>
        </w:rPr>
      </w:pPr>
    </w:p>
    <w:p w14:paraId="7199F0D1">
      <w:pPr>
        <w:ind w:firstLine="281" w:firstLineChars="100"/>
        <w:rPr>
          <w:rFonts w:hint="eastAsia" w:ascii="仿宋" w:hAnsi="仿宋" w:eastAsia="仿宋" w:cs="仿宋"/>
          <w:b/>
          <w:bCs/>
          <w:sz w:val="28"/>
          <w:szCs w:val="28"/>
        </w:rPr>
      </w:pPr>
      <w:r>
        <w:rPr>
          <w:rFonts w:hint="eastAsia" w:ascii="仿宋" w:hAnsi="仿宋" w:eastAsia="仿宋" w:cs="仿宋"/>
          <w:b/>
          <w:bCs/>
          <w:sz w:val="28"/>
          <w:szCs w:val="28"/>
        </w:rPr>
        <w:t>（二）总体技术要求：</w:t>
      </w:r>
    </w:p>
    <w:p w14:paraId="39B871F2">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1）设备接入能力</w:t>
      </w:r>
    </w:p>
    <w:p w14:paraId="73F83098">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1、接入规模</w:t>
      </w:r>
    </w:p>
    <w:p w14:paraId="136D35B3">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专网应能够支持不少于1200台移动设备（包括但不限于移动护理终端、移动医生工作站设备、移动医疗推车等）的同时接入。在高峰时段（如上午查房期间），确保所有接入设备的网络连接稳定，不出现因接入设备过多导致的网络拥塞或拒绝服务现象。</w:t>
      </w:r>
    </w:p>
    <w:p w14:paraId="5FB1DEE1">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2、接入方式</w:t>
      </w:r>
    </w:p>
    <w:p w14:paraId="45C0492F">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支持4G/5G，需提供与移动运营商网络的接口，以实现移动设备在院外或院内接入。</w:t>
      </w:r>
    </w:p>
    <w:p w14:paraId="7CC47C0B">
      <w:pPr>
        <w:pStyle w:val="7"/>
        <w:rPr>
          <w:rFonts w:hint="eastAsia" w:ascii="仿宋" w:hAnsi="仿宋" w:eastAsia="仿宋" w:cs="仿宋"/>
          <w:bCs w:val="0"/>
          <w:spacing w:val="0"/>
          <w:kern w:val="2"/>
          <w:sz w:val="28"/>
          <w:szCs w:val="28"/>
          <w14:ligatures w14:val="standardContextual"/>
        </w:rPr>
      </w:pPr>
    </w:p>
    <w:p w14:paraId="18D7A863">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2）数据移动传输</w:t>
      </w:r>
    </w:p>
    <w:p w14:paraId="24639125">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1、传输带宽</w:t>
      </w:r>
    </w:p>
    <w:p w14:paraId="1AC3EE3E">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需提供足够的传输带宽，以满足医疗数据的快速传输需求。在正常运行情况下，专网整体可用带宽应不低于200Mbps，确保移动设备能够及时上传和下载患者病历、检查检验结果、医嘱信息等医疗数据，避免数据传输延迟影响医疗工作流程。</w:t>
      </w:r>
    </w:p>
    <w:p w14:paraId="69978408">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2、传输协议支持</w:t>
      </w:r>
    </w:p>
    <w:p w14:paraId="74B119FE">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需支持常见的医疗数据传输协议，确保移动设备与医院信息系统（HIS）、电子病历系统（EMR）、医学影像存储与传输系统（PACS）等系统之间能够实现无缝的数据交互。</w:t>
      </w:r>
    </w:p>
    <w:p w14:paraId="493F257A">
      <w:pPr>
        <w:pStyle w:val="7"/>
        <w:rPr>
          <w:rFonts w:hint="eastAsia" w:ascii="仿宋" w:hAnsi="仿宋" w:eastAsia="仿宋" w:cs="仿宋"/>
          <w:bCs w:val="0"/>
          <w:spacing w:val="0"/>
          <w:kern w:val="2"/>
          <w:sz w:val="28"/>
          <w:szCs w:val="28"/>
          <w14:ligatures w14:val="standardContextual"/>
        </w:rPr>
      </w:pPr>
    </w:p>
    <w:p w14:paraId="168D8B12">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3）安全保密性</w:t>
      </w:r>
    </w:p>
    <w:p w14:paraId="4F1CEB88">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1、逻辑隔离及加密技术</w:t>
      </w:r>
    </w:p>
    <w:p w14:paraId="2384B0E0">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该专网需通过逻辑隔离技术（隧道加密、VPN路由控制、ACL过滤）在专用网络上构建安全的虚拟专用网络，需能高效利用带宽和低时延特性，又能有效防范外部干扰和安全威胁。</w:t>
      </w:r>
    </w:p>
    <w:p w14:paraId="34824D81">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2、用户认证与授权</w:t>
      </w:r>
    </w:p>
    <w:p w14:paraId="05E41653">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建立完善的用户认证与授权体系，确保只有经过授权的医护人员和管理人员能够使用移动设备接入专网并获取相应的医疗服务数据。认证方式可采用多种组合，如用户名/密码等，授权应基于角色（如医生、护士、药剂师等不同角色）进行，明确规定每个角色可访问的数据范围和操作权限。</w:t>
      </w:r>
    </w:p>
    <w:p w14:paraId="1A391412">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3、数据完整性保护</w:t>
      </w:r>
    </w:p>
    <w:p w14:paraId="1AC3A692">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在数据传输过程中，采用数据加密和校验技术（如哈希算法等）确保数据的完整性，防止数据在传输过程中被篡改。接收端能够对收到的数据进行完整性验证，一旦发现数据被篡改，能够及时通知发送端并采取相应的措施。</w:t>
      </w:r>
    </w:p>
    <w:p w14:paraId="5ED9F313">
      <w:pPr>
        <w:pStyle w:val="7"/>
        <w:ind w:firstLine="280" w:firstLineChars="100"/>
        <w:rPr>
          <w:rFonts w:hint="eastAsia" w:ascii="仿宋" w:hAnsi="仿宋" w:eastAsia="仿宋" w:cs="仿宋"/>
          <w:bCs w:val="0"/>
          <w:i w:val="0"/>
          <w:iCs w:val="0"/>
          <w:spacing w:val="0"/>
          <w:kern w:val="2"/>
          <w:sz w:val="28"/>
          <w:szCs w:val="28"/>
          <w14:ligatures w14:val="standardContextual"/>
        </w:rPr>
      </w:pPr>
      <w:r>
        <w:rPr>
          <w:rFonts w:hint="eastAsia" w:ascii="仿宋" w:hAnsi="仿宋" w:eastAsia="仿宋" w:cs="仿宋"/>
          <w:bCs w:val="0"/>
          <w:i w:val="0"/>
          <w:iCs w:val="0"/>
          <w:spacing w:val="0"/>
          <w:kern w:val="2"/>
          <w:sz w:val="28"/>
          <w:szCs w:val="28"/>
          <w14:ligatures w14:val="standardContextual"/>
        </w:rPr>
        <w:t>4、IP绑定及入网设备认证绑定</w:t>
      </w:r>
    </w:p>
    <w:p w14:paraId="6A4EF70B">
      <w:pPr>
        <w:pStyle w:val="7"/>
        <w:rPr>
          <w:rFonts w:hint="eastAsia" w:ascii="仿宋" w:hAnsi="仿宋" w:eastAsia="仿宋" w:cs="仿宋"/>
          <w:bCs w:val="0"/>
          <w:i w:val="0"/>
          <w:iCs w:val="0"/>
          <w:spacing w:val="0"/>
          <w:kern w:val="2"/>
          <w:sz w:val="28"/>
          <w:szCs w:val="28"/>
          <w14:ligatures w14:val="standardContextual"/>
        </w:rPr>
      </w:pPr>
      <w:r>
        <w:rPr>
          <w:rFonts w:hint="eastAsia" w:ascii="仿宋" w:hAnsi="仿宋" w:eastAsia="仿宋" w:cs="仿宋"/>
          <w:bCs w:val="0"/>
          <w:i w:val="0"/>
          <w:iCs w:val="0"/>
          <w:spacing w:val="0"/>
          <w:kern w:val="2"/>
          <w:sz w:val="28"/>
          <w:szCs w:val="28"/>
          <w14:ligatures w14:val="standardContextual"/>
        </w:rPr>
        <w:t>所配置的流量卡需支持纳入院内统一IP管理，可支持院内IP绑定及入网设备认证绑定，以便于医院信息安全管理。</w:t>
      </w:r>
    </w:p>
    <w:p w14:paraId="72684459">
      <w:pPr>
        <w:pStyle w:val="7"/>
        <w:rPr>
          <w:rFonts w:hint="eastAsia" w:ascii="仿宋" w:hAnsi="仿宋" w:eastAsia="仿宋" w:cs="仿宋"/>
          <w:bCs w:val="0"/>
          <w:spacing w:val="0"/>
          <w:kern w:val="2"/>
          <w:sz w:val="28"/>
          <w:szCs w:val="28"/>
          <w14:ligatures w14:val="standardContextual"/>
        </w:rPr>
      </w:pPr>
    </w:p>
    <w:p w14:paraId="251304FE">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4）网络可靠性</w:t>
      </w:r>
    </w:p>
    <w:p w14:paraId="65B34516">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1、冗余设计</w:t>
      </w:r>
    </w:p>
    <w:p w14:paraId="296E3B67">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为确保移动医疗服务的连续性，专网应具备冗余设计，以保证网络的正常运行。</w:t>
      </w:r>
    </w:p>
    <w:p w14:paraId="04E9B32A">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2、故障恢复能力</w:t>
      </w:r>
    </w:p>
    <w:p w14:paraId="148B1672">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网络应具备快速的故障恢复能力，在发生网络故障（如链路中断、设备故障等）时，尽量减少对医疗工作的影响。</w:t>
      </w:r>
    </w:p>
    <w:p w14:paraId="36E8D221">
      <w:pPr>
        <w:pStyle w:val="7"/>
        <w:rPr>
          <w:rFonts w:hint="eastAsia" w:ascii="仿宋" w:hAnsi="仿宋" w:eastAsia="仿宋" w:cs="仿宋"/>
          <w:bCs w:val="0"/>
          <w:spacing w:val="0"/>
          <w:kern w:val="2"/>
          <w:sz w:val="28"/>
          <w:szCs w:val="28"/>
          <w14:ligatures w14:val="standardContextual"/>
        </w:rPr>
      </w:pPr>
    </w:p>
    <w:p w14:paraId="1CD2171B">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5）网络管理与监控</w:t>
      </w:r>
    </w:p>
    <w:p w14:paraId="42CD157D">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1、集中管理</w:t>
      </w:r>
    </w:p>
    <w:p w14:paraId="50BE3C78">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提供集中式的网络管理系统，能够对专网内的所有网络设备进行统一管理，方便网络管理员配置、监控和维护网络。网络管理系统应具备直观的用户界面，能够显示设备的运行状态、性能指标、故障报警等信息。</w:t>
      </w:r>
    </w:p>
    <w:p w14:paraId="2D229C30">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2、流量监测与分析</w:t>
      </w:r>
    </w:p>
    <w:p w14:paraId="23CEBA0D">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能够实时监测网络流量情况，对不同类型的流量（如医疗数据流量、管理流量等）进行分类统计和分析，以便及时发现异常流量并进行优化处理，确保网络资源的合理利用。</w:t>
      </w:r>
    </w:p>
    <w:p w14:paraId="4CC44BAE">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3、管理后台至少需具备的功能：</w:t>
      </w:r>
    </w:p>
    <w:p w14:paraId="21982C94">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(1)用户管理：管理后台能够对使用4G/5G VPDN服务的用户进行管理，包括用户信息的录入、修改、删除等操作。</w:t>
      </w:r>
    </w:p>
    <w:p w14:paraId="65F2DF7D">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(2)域配置：可以针对手机池及机卡进行管理，包括新增、删除、批量操作、手机号IP绑定、机卡绑定等。</w:t>
      </w:r>
    </w:p>
    <w:p w14:paraId="3174A151">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(3)统计分析：可在管理后台对客户域及业务数据汇总查询。</w:t>
      </w:r>
    </w:p>
    <w:p w14:paraId="625D7146">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(4)用户权限管理：管理后台能够对不同用户设置不同的权限，确保只有授权用户才能进行相应的操作。</w:t>
      </w:r>
    </w:p>
    <w:p w14:paraId="35CF63E5">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(5)日志记录和审计：管理后台能够对用户的操作进行日志记录，以便进行审计和追溯。</w:t>
      </w:r>
    </w:p>
    <w:p w14:paraId="70381D62">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4、使用的专网系统需具备国家信息安全认证，级别为信息系统安全保障级二级或以上。</w:t>
      </w:r>
    </w:p>
    <w:p w14:paraId="33CC2699">
      <w:pPr>
        <w:pStyle w:val="7"/>
        <w:rPr>
          <w:rFonts w:hint="eastAsia" w:ascii="仿宋" w:hAnsi="仿宋" w:eastAsia="仿宋" w:cs="仿宋"/>
          <w:bCs w:val="0"/>
          <w:spacing w:val="0"/>
          <w:kern w:val="2"/>
          <w:sz w:val="28"/>
          <w:szCs w:val="28"/>
          <w14:ligatures w14:val="standardContextual"/>
        </w:rPr>
      </w:pPr>
    </w:p>
    <w:p w14:paraId="39F187EF">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6）可扩展性</w:t>
      </w:r>
    </w:p>
    <w:p w14:paraId="01F8B930">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1、业务扩展支持</w:t>
      </w:r>
    </w:p>
    <w:p w14:paraId="3DE5265A">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考虑到医院移动医疗服务未来可能的扩展，专网应具有良好的可扩展性。在增加新的移动设备类型（如新型可穿戴医疗设备）、新的移动医疗服务业务（如远程医疗会诊服务等）时，专网应能够轻松地进行升级和扩展，无需对整体网络架构进行大规模的改造。支持按需临时升级专网带宽，满足远程会诊、软件升级等临时高带宽需求。</w:t>
      </w:r>
    </w:p>
    <w:p w14:paraId="1AFD2237">
      <w:pPr>
        <w:pStyle w:val="7"/>
        <w:rPr>
          <w:rFonts w:hint="eastAsia" w:ascii="仿宋" w:hAnsi="仿宋" w:eastAsia="仿宋" w:cs="仿宋"/>
          <w:bCs w:val="0"/>
          <w:spacing w:val="0"/>
          <w:kern w:val="2"/>
          <w:sz w:val="28"/>
          <w:szCs w:val="28"/>
          <w14:ligatures w14:val="standardContextual"/>
        </w:rPr>
      </w:pPr>
    </w:p>
    <w:p w14:paraId="7C166873">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7）配套服务需求</w:t>
      </w:r>
    </w:p>
    <w:p w14:paraId="02B20721">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1、安装与部署</w:t>
      </w:r>
    </w:p>
    <w:p w14:paraId="02C84081">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供应商应负责专网设备（包括核心交换机、接入点、防火墙、加密设备、IP绑定及入网设备认证绑定等）在医院内的安装与部署工作，确保设备安装位置合理、布线规范、网络配置正确。安装过程中应不影响医院正常的医疗业务开展，并遵守医院的相关安全和卫生规定。</w:t>
      </w:r>
    </w:p>
    <w:p w14:paraId="575F3B3A">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2、培训服务</w:t>
      </w:r>
    </w:p>
    <w:p w14:paraId="7B7010E8">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为医院相关人员（如网络管理员、医护人员等）提供专网使用和管理的培训服务。培训内容包括但不限于专网设备的操作与维护、用户认证与授权管理、数据安全防护等方面的知识，培训方式可采用集中培训、现场指导和在线培训相结合的方式，确保相关人员能够熟练掌握专网的使用和管理技能。</w:t>
      </w:r>
    </w:p>
    <w:p w14:paraId="15457B9C">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3、技术支持与维护</w:t>
      </w:r>
    </w:p>
    <w:p w14:paraId="25A3D5BB">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供应商应提供7×24小时的技术支持服务，在专网出现故障或用户遇到技术问题时，能够及时响应并解决问题。定期对专网进行巡检和维护，包括设备健康检查、软件升级、安全漏洞修复等工作，确保专网的稳定运行和安全性。</w:t>
      </w:r>
    </w:p>
    <w:p w14:paraId="194B3A68">
      <w:pPr>
        <w:pStyle w:val="7"/>
        <w:rPr>
          <w:rFonts w:hint="eastAsia" w:ascii="仿宋" w:hAnsi="仿宋" w:eastAsia="仿宋" w:cs="仿宋"/>
          <w:bCs w:val="0"/>
          <w:spacing w:val="0"/>
          <w:kern w:val="2"/>
          <w:sz w:val="28"/>
          <w:szCs w:val="28"/>
          <w14:ligatures w14:val="standardContextual"/>
        </w:rPr>
      </w:pPr>
    </w:p>
    <w:p w14:paraId="760C6897">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8）项目时间要求</w:t>
      </w:r>
    </w:p>
    <w:p w14:paraId="55156DA1">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1、自合同签订之日起，为确保在用业务连续性，需5个工作日内完成配套专网项目的建设、安装与部署工作，并投入试运行。</w:t>
      </w:r>
    </w:p>
    <w:p w14:paraId="321B8E3C">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7）、其他要求</w:t>
      </w:r>
    </w:p>
    <w:p w14:paraId="662C57FB">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1、合规性要求</w:t>
      </w:r>
    </w:p>
    <w:p w14:paraId="4E381D43">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专网建设和网络服务的提供应符合国家和地方相关的法律法规、行业标准和规范要求，如网络安全法、医疗行业数据保护相关规定等。</w:t>
      </w:r>
    </w:p>
    <w:p w14:paraId="59C76E74">
      <w:pPr>
        <w:pStyle w:val="7"/>
        <w:ind w:firstLine="280" w:firstLineChars="100"/>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2、售后服务</w:t>
      </w:r>
    </w:p>
    <w:p w14:paraId="52E52D2F">
      <w:pPr>
        <w:pStyle w:val="7"/>
        <w:rPr>
          <w:rFonts w:hint="eastAsia" w:ascii="仿宋" w:hAnsi="仿宋" w:eastAsia="仿宋" w:cs="仿宋"/>
          <w:bCs w:val="0"/>
          <w:spacing w:val="0"/>
          <w:kern w:val="2"/>
          <w:sz w:val="28"/>
          <w:szCs w:val="28"/>
          <w14:ligatures w14:val="standardContextual"/>
        </w:rPr>
      </w:pPr>
      <w:r>
        <w:rPr>
          <w:rFonts w:hint="eastAsia" w:ascii="仿宋" w:hAnsi="仿宋" w:eastAsia="仿宋" w:cs="仿宋"/>
          <w:bCs w:val="0"/>
          <w:spacing w:val="0"/>
          <w:kern w:val="2"/>
          <w:sz w:val="28"/>
          <w:szCs w:val="28"/>
          <w14:ligatures w14:val="standardContextual"/>
        </w:rPr>
        <w:t>在合同服务期内，供应商应提供售后服务，包括但不限于设备的维修、更换、软件升级等服务，应明确售后服务的收费标准和相关服务保障条款。</w:t>
      </w:r>
    </w:p>
    <w:p w14:paraId="3D034422">
      <w:pPr>
        <w:rPr>
          <w:rFonts w:hint="eastAsia" w:ascii="仿宋" w:hAnsi="仿宋" w:eastAsia="仿宋" w:cs="仿宋"/>
          <w:szCs w:val="28"/>
        </w:rPr>
      </w:pPr>
      <w:r>
        <w:rPr>
          <w:rFonts w:hint="eastAsia" w:ascii="仿宋" w:hAnsi="仿宋" w:eastAsia="仿宋" w:cs="仿宋"/>
          <w:sz w:val="28"/>
          <w:szCs w:val="28"/>
        </w:rPr>
        <w:t>注意：以上工作所产生的费用均已包含在本项目合同金额内，中标人不得以任何理由拒绝配合或向采购人收取费用。</w:t>
      </w:r>
    </w:p>
    <w:p w14:paraId="26804087">
      <w:pPr>
        <w:ind w:firstLine="281" w:firstLineChars="100"/>
        <w:rPr>
          <w:rFonts w:hint="eastAsia" w:ascii="仿宋" w:hAnsi="仿宋" w:eastAsia="仿宋" w:cs="仿宋"/>
          <w:sz w:val="28"/>
          <w:szCs w:val="28"/>
          <w14:ligatures w14:val="standardContextual"/>
        </w:rPr>
      </w:pPr>
      <w:r>
        <w:rPr>
          <w:rFonts w:hint="eastAsia" w:ascii="仿宋" w:hAnsi="仿宋" w:eastAsia="仿宋" w:cs="仿宋"/>
          <w:b/>
          <w:bCs/>
          <w:sz w:val="28"/>
          <w:szCs w:val="28"/>
        </w:rPr>
        <w:t>（三）项目整体预算价：</w:t>
      </w:r>
    </w:p>
    <w:tbl>
      <w:tblPr>
        <w:tblStyle w:val="4"/>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2135"/>
        <w:gridCol w:w="842"/>
        <w:gridCol w:w="1276"/>
        <w:gridCol w:w="1559"/>
        <w:gridCol w:w="1843"/>
      </w:tblGrid>
      <w:tr w14:paraId="3847C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1" w:hRule="atLeast"/>
        </w:trPr>
        <w:tc>
          <w:tcPr>
            <w:tcW w:w="884" w:type="dxa"/>
          </w:tcPr>
          <w:p w14:paraId="21384201">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序号</w:t>
            </w:r>
          </w:p>
        </w:tc>
        <w:tc>
          <w:tcPr>
            <w:tcW w:w="2135" w:type="dxa"/>
          </w:tcPr>
          <w:p w14:paraId="0648D45E">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服务内容</w:t>
            </w:r>
          </w:p>
        </w:tc>
        <w:tc>
          <w:tcPr>
            <w:tcW w:w="842" w:type="dxa"/>
          </w:tcPr>
          <w:p w14:paraId="3307CFE0">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数量</w:t>
            </w:r>
          </w:p>
        </w:tc>
        <w:tc>
          <w:tcPr>
            <w:tcW w:w="1276" w:type="dxa"/>
          </w:tcPr>
          <w:p w14:paraId="4DBE80EB">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服务月份</w:t>
            </w:r>
          </w:p>
        </w:tc>
        <w:tc>
          <w:tcPr>
            <w:tcW w:w="1559" w:type="dxa"/>
          </w:tcPr>
          <w:p w14:paraId="20648839">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单价</w:t>
            </w:r>
          </w:p>
        </w:tc>
        <w:tc>
          <w:tcPr>
            <w:tcW w:w="1843" w:type="dxa"/>
          </w:tcPr>
          <w:p w14:paraId="4BCAA5CF">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服务费用合计</w:t>
            </w:r>
          </w:p>
        </w:tc>
      </w:tr>
      <w:tr w14:paraId="0DB76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3552A953">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1</w:t>
            </w:r>
          </w:p>
        </w:tc>
        <w:tc>
          <w:tcPr>
            <w:tcW w:w="2135" w:type="dxa"/>
          </w:tcPr>
          <w:p w14:paraId="3F36A181">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移动医护系统配套量子流量卡(基础流量10G/卡/月，所有卡流量池均共享，如有超出部分包月任用)</w:t>
            </w:r>
          </w:p>
        </w:tc>
        <w:tc>
          <w:tcPr>
            <w:tcW w:w="842" w:type="dxa"/>
          </w:tcPr>
          <w:p w14:paraId="2DDEAF3A">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1200</w:t>
            </w:r>
          </w:p>
        </w:tc>
        <w:tc>
          <w:tcPr>
            <w:tcW w:w="1276" w:type="dxa"/>
          </w:tcPr>
          <w:p w14:paraId="52F503FC">
            <w:pPr>
              <w:pStyle w:val="8"/>
              <w:widowControl/>
              <w:ind w:firstLine="48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12</w:t>
            </w:r>
          </w:p>
        </w:tc>
        <w:tc>
          <w:tcPr>
            <w:tcW w:w="1559" w:type="dxa"/>
          </w:tcPr>
          <w:p w14:paraId="1CA6B211">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4.68元/月/张</w:t>
            </w:r>
          </w:p>
        </w:tc>
        <w:tc>
          <w:tcPr>
            <w:tcW w:w="1843" w:type="dxa"/>
          </w:tcPr>
          <w:p w14:paraId="4209EFA5">
            <w:pPr>
              <w:pStyle w:val="8"/>
              <w:widowControl/>
              <w:ind w:firstLine="48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67392</w:t>
            </w:r>
          </w:p>
          <w:p w14:paraId="123B72FF">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(按最大值1200张卡计算，数量不超过1200张流量卡，按实际的流量卡数量进行收费)</w:t>
            </w:r>
          </w:p>
        </w:tc>
      </w:tr>
      <w:tr w14:paraId="7ACD7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F675415">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2</w:t>
            </w:r>
          </w:p>
        </w:tc>
        <w:tc>
          <w:tcPr>
            <w:tcW w:w="2135" w:type="dxa"/>
          </w:tcPr>
          <w:p w14:paraId="4A118E8F">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移动医护系统配套 VPDN数据专线(200M/条)</w:t>
            </w:r>
          </w:p>
        </w:tc>
        <w:tc>
          <w:tcPr>
            <w:tcW w:w="842" w:type="dxa"/>
          </w:tcPr>
          <w:p w14:paraId="1E96D121">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2</w:t>
            </w:r>
          </w:p>
        </w:tc>
        <w:tc>
          <w:tcPr>
            <w:tcW w:w="1276" w:type="dxa"/>
          </w:tcPr>
          <w:p w14:paraId="1AE195EA">
            <w:pPr>
              <w:pStyle w:val="8"/>
              <w:widowControl/>
              <w:ind w:firstLine="48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12</w:t>
            </w:r>
          </w:p>
        </w:tc>
        <w:tc>
          <w:tcPr>
            <w:tcW w:w="1559" w:type="dxa"/>
          </w:tcPr>
          <w:p w14:paraId="5B40EAF4">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1355元/月/条</w:t>
            </w:r>
          </w:p>
        </w:tc>
        <w:tc>
          <w:tcPr>
            <w:tcW w:w="1843" w:type="dxa"/>
          </w:tcPr>
          <w:p w14:paraId="64826E47">
            <w:pPr>
              <w:pStyle w:val="8"/>
              <w:widowControl/>
              <w:ind w:firstLine="48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32520</w:t>
            </w:r>
          </w:p>
        </w:tc>
      </w:tr>
      <w:tr w14:paraId="1C6B6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6" w:type="dxa"/>
            <w:gridSpan w:val="5"/>
          </w:tcPr>
          <w:p w14:paraId="37B175D3">
            <w:pPr>
              <w:pStyle w:val="8"/>
              <w:widowControl/>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合计：每月1355*2+1200*4.68=8326元</w:t>
            </w:r>
            <w:bookmarkStart w:id="0" w:name="_GoBack"/>
            <w:bookmarkEnd w:id="0"/>
          </w:p>
        </w:tc>
        <w:tc>
          <w:tcPr>
            <w:tcW w:w="1843" w:type="dxa"/>
          </w:tcPr>
          <w:p w14:paraId="2E01F6F2">
            <w:pPr>
              <w:pStyle w:val="8"/>
              <w:widowControl/>
              <w:ind w:firstLine="0" w:firstLineChars="0"/>
              <w:jc w:val="left"/>
              <w:rPr>
                <w:rFonts w:hint="eastAsia" w:ascii="仿宋" w:hAnsi="仿宋" w:eastAsia="仿宋" w:cs="仿宋"/>
                <w:kern w:val="2"/>
                <w:sz w:val="28"/>
                <w:szCs w:val="28"/>
                <w:lang w:val="en-US" w:eastAsia="zh-CN" w:bidi="ar-SA"/>
                <w14:ligatures w14:val="standardContextual"/>
              </w:rPr>
            </w:pPr>
            <w:r>
              <w:rPr>
                <w:rFonts w:hint="eastAsia" w:ascii="仿宋" w:hAnsi="仿宋" w:eastAsia="仿宋" w:cs="仿宋"/>
                <w:kern w:val="2"/>
                <w:sz w:val="28"/>
                <w:szCs w:val="28"/>
                <w:lang w:val="en-US" w:eastAsia="zh-CN" w:bidi="ar-SA"/>
                <w14:ligatures w14:val="standardContextual"/>
              </w:rPr>
              <w:t>每年99912元</w:t>
            </w:r>
          </w:p>
        </w:tc>
      </w:tr>
    </w:tbl>
    <w:p w14:paraId="58839879"/>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D45824"/>
    <w:multiLevelType w:val="multilevel"/>
    <w:tmpl w:val="3FD45824"/>
    <w:lvl w:ilvl="0" w:tentative="0">
      <w:start w:val="1"/>
      <w:numFmt w:val="japaneseCounting"/>
      <w:lvlText w:val="（%1）"/>
      <w:lvlJc w:val="left"/>
      <w:pPr>
        <w:ind w:left="1166" w:hanging="885"/>
      </w:pPr>
      <w:rPr>
        <w:rFonts w:hint="default"/>
      </w:rPr>
    </w:lvl>
    <w:lvl w:ilvl="1" w:tentative="0">
      <w:start w:val="1"/>
      <w:numFmt w:val="lowerLetter"/>
      <w:lvlText w:val="%2)"/>
      <w:lvlJc w:val="left"/>
      <w:pPr>
        <w:ind w:left="1161" w:hanging="440"/>
      </w:pPr>
    </w:lvl>
    <w:lvl w:ilvl="2" w:tentative="0">
      <w:start w:val="1"/>
      <w:numFmt w:val="lowerRoman"/>
      <w:lvlText w:val="%3."/>
      <w:lvlJc w:val="right"/>
      <w:pPr>
        <w:ind w:left="1601" w:hanging="440"/>
      </w:pPr>
    </w:lvl>
    <w:lvl w:ilvl="3" w:tentative="0">
      <w:start w:val="1"/>
      <w:numFmt w:val="decimal"/>
      <w:lvlText w:val="%4."/>
      <w:lvlJc w:val="left"/>
      <w:pPr>
        <w:ind w:left="2041" w:hanging="440"/>
      </w:pPr>
    </w:lvl>
    <w:lvl w:ilvl="4" w:tentative="0">
      <w:start w:val="1"/>
      <w:numFmt w:val="lowerLetter"/>
      <w:lvlText w:val="%5)"/>
      <w:lvlJc w:val="left"/>
      <w:pPr>
        <w:ind w:left="2481" w:hanging="440"/>
      </w:pPr>
    </w:lvl>
    <w:lvl w:ilvl="5" w:tentative="0">
      <w:start w:val="1"/>
      <w:numFmt w:val="lowerRoman"/>
      <w:lvlText w:val="%6."/>
      <w:lvlJc w:val="right"/>
      <w:pPr>
        <w:ind w:left="2921" w:hanging="440"/>
      </w:pPr>
    </w:lvl>
    <w:lvl w:ilvl="6" w:tentative="0">
      <w:start w:val="1"/>
      <w:numFmt w:val="decimal"/>
      <w:lvlText w:val="%7."/>
      <w:lvlJc w:val="left"/>
      <w:pPr>
        <w:ind w:left="3361" w:hanging="440"/>
      </w:pPr>
    </w:lvl>
    <w:lvl w:ilvl="7" w:tentative="0">
      <w:start w:val="1"/>
      <w:numFmt w:val="lowerLetter"/>
      <w:lvlText w:val="%8)"/>
      <w:lvlJc w:val="left"/>
      <w:pPr>
        <w:ind w:left="3801" w:hanging="440"/>
      </w:pPr>
    </w:lvl>
    <w:lvl w:ilvl="8" w:tentative="0">
      <w:start w:val="1"/>
      <w:numFmt w:val="lowerRoman"/>
      <w:lvlText w:val="%9."/>
      <w:lvlJc w:val="right"/>
      <w:pPr>
        <w:ind w:left="424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75ED2"/>
    <w:rsid w:val="0CA75ED2"/>
    <w:rsid w:val="448B55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spacing w:after="0" w:line="240" w:lineRule="auto"/>
      <w:ind w:firstLine="420" w:firstLineChars="200"/>
      <w:jc w:val="both"/>
    </w:pPr>
    <w:rPr>
      <w:rFonts w:ascii="Calibri" w:hAnsi="Calibri" w:eastAsia="宋体" w:cs="宋体"/>
      <w:sz w:val="21"/>
      <w14:ligatures w14:val="none"/>
    </w:rPr>
  </w:style>
  <w:style w:type="table" w:styleId="4">
    <w:name w:val="Table Grid"/>
    <w:basedOn w:val="3"/>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 w:type="paragraph" w:customStyle="1" w:styleId="7">
    <w:name w:val="表格文字"/>
    <w:basedOn w:val="1"/>
    <w:qFormat/>
    <w:uiPriority w:val="0"/>
    <w:pPr>
      <w:spacing w:before="25" w:after="25" w:line="240" w:lineRule="auto"/>
    </w:pPr>
    <w:rPr>
      <w:rFonts w:ascii="Times New Roman" w:hAnsi="Times New Roman" w:eastAsia="宋体" w:cs="Times New Roman"/>
      <w:bCs/>
      <w:spacing w:val="10"/>
      <w:kern w:val="0"/>
      <w:sz w:val="24"/>
      <w14:ligatures w14:val="none"/>
    </w:rPr>
  </w:style>
  <w:style w:type="paragraph" w:customStyle="1" w:styleId="8">
    <w:name w:val="列出段落1"/>
    <w:basedOn w:val="1"/>
    <w:qFormat/>
    <w:uiPriority w:val="0"/>
    <w:pPr>
      <w:spacing w:after="0" w:line="240" w:lineRule="auto"/>
      <w:ind w:firstLine="420" w:firstLineChars="200"/>
      <w:jc w:val="both"/>
    </w:pPr>
    <w:rPr>
      <w:rFonts w:ascii="Calibri" w:hAnsi="Calibri" w:eastAsia="宋体" w:cs="Times New Roman"/>
      <w:sz w:val="21"/>
      <w:szCs w:val="21"/>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2356</Words>
  <Characters>2476</Characters>
  <Lines>0</Lines>
  <Paragraphs>0</Paragraphs>
  <TotalTime>32</TotalTime>
  <ScaleCrop>false</ScaleCrop>
  <LinksUpToDate>false</LinksUpToDate>
  <CharactersWithSpaces>2479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2026-09-17T07:31:00Z</dcterms:created>
  <dc:creator>何林鸿</dc:creator>
  <cp:lastModifiedBy>何林鸿</cp:lastModifiedBy>
  <dcterms:modified xsi:type="dcterms:W3CDTF">2026-09-17T08:33:42Z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D64AE8731E4D4B1BB067DBD099F6A17A_11</vt:lpwstr>
  </property>
  <property fmtid="{D5CDD505-2E9C-101B-9397-08002B2CF9AE}" pid="4" name="KSOTemplateDocerSaveRecord">
    <vt:lpwstr>eyJoZGlkIjoiYTg2NGQ1OTlhN2VhZWQ3ZjE4MmU0YmE0YjYwMDg4NTAiLCJ1c2VySWQiOiIzNTU5NTMzMTAifQ==</vt:lpwstr>
  </property>
</Properties>
</file>