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39698B1">
      <w:pPr>
        <w:keepNext w:val="0"/>
        <w:keepLines w:val="0"/>
        <w:pageBreakBefore w:val="0"/>
        <w:widowControl w:val="0"/>
        <w:kinsoku/>
        <w:wordWrap w:val="0"/>
        <w:overflowPunct/>
        <w:topLinePunct w:val="0"/>
        <w:autoSpaceDE/>
        <w:autoSpaceDN/>
        <w:bidi w:val="0"/>
        <w:adjustRightInd w:val="0"/>
        <w:snapToGrid/>
        <w:spacing w:line="720" w:lineRule="auto"/>
        <w:jc w:val="center"/>
        <w:textAlignment w:val="auto"/>
        <w:rPr>
          <w:rFonts w:hint="eastAsia" w:ascii="宋体" w:hAnsi="宋体" w:eastAsia="宋体" w:cs="宋体"/>
          <w:b/>
          <w:bCs/>
          <w:color w:val="auto"/>
          <w:sz w:val="44"/>
          <w:szCs w:val="44"/>
          <w:highlight w:val="none"/>
          <w:lang w:val="en-US" w:eastAsia="zh-CN"/>
        </w:rPr>
      </w:pPr>
      <w:bookmarkStart w:id="0" w:name="_Toc441851765"/>
    </w:p>
    <w:p w14:paraId="70C35A88">
      <w:pPr>
        <w:keepNext w:val="0"/>
        <w:keepLines w:val="0"/>
        <w:pageBreakBefore w:val="0"/>
        <w:widowControl w:val="0"/>
        <w:kinsoku/>
        <w:wordWrap w:val="0"/>
        <w:overflowPunct/>
        <w:topLinePunct w:val="0"/>
        <w:autoSpaceDE/>
        <w:autoSpaceDN/>
        <w:bidi w:val="0"/>
        <w:adjustRightInd w:val="0"/>
        <w:snapToGrid/>
        <w:spacing w:line="720" w:lineRule="auto"/>
        <w:jc w:val="center"/>
        <w:textAlignment w:val="auto"/>
        <w:rPr>
          <w:rFonts w:hint="eastAsia" w:ascii="宋体" w:hAnsi="宋体" w:eastAsia="宋体" w:cs="宋体"/>
          <w:b/>
          <w:bCs/>
          <w:color w:val="auto"/>
          <w:sz w:val="44"/>
          <w:szCs w:val="44"/>
          <w:highlight w:val="none"/>
          <w:lang w:val="en-US" w:eastAsia="zh-CN"/>
        </w:rPr>
      </w:pPr>
    </w:p>
    <w:p w14:paraId="306FA189">
      <w:pPr>
        <w:keepNext w:val="0"/>
        <w:keepLines w:val="0"/>
        <w:pageBreakBefore w:val="0"/>
        <w:widowControl w:val="0"/>
        <w:kinsoku/>
        <w:wordWrap w:val="0"/>
        <w:overflowPunct/>
        <w:topLinePunct w:val="0"/>
        <w:autoSpaceDE/>
        <w:autoSpaceDN/>
        <w:bidi w:val="0"/>
        <w:adjustRightInd w:val="0"/>
        <w:snapToGrid/>
        <w:spacing w:line="720" w:lineRule="auto"/>
        <w:jc w:val="center"/>
        <w:textAlignment w:val="auto"/>
        <w:rPr>
          <w:rFonts w:hint="eastAsia" w:ascii="宋体" w:hAnsi="宋体" w:eastAsia="宋体" w:cs="宋体"/>
          <w:b/>
          <w:bCs/>
          <w:color w:val="auto"/>
          <w:sz w:val="44"/>
          <w:szCs w:val="44"/>
          <w:highlight w:val="none"/>
          <w:lang w:val="en-US" w:eastAsia="zh-CN"/>
        </w:rPr>
      </w:pPr>
    </w:p>
    <w:p w14:paraId="58BC8B87">
      <w:pPr>
        <w:keepNext w:val="0"/>
        <w:keepLines w:val="0"/>
        <w:pageBreakBefore w:val="0"/>
        <w:widowControl w:val="0"/>
        <w:kinsoku/>
        <w:wordWrap w:val="0"/>
        <w:overflowPunct/>
        <w:topLinePunct w:val="0"/>
        <w:autoSpaceDE/>
        <w:autoSpaceDN/>
        <w:bidi w:val="0"/>
        <w:adjustRightInd w:val="0"/>
        <w:snapToGrid/>
        <w:spacing w:line="720" w:lineRule="auto"/>
        <w:jc w:val="center"/>
        <w:textAlignment w:val="auto"/>
        <w:rPr>
          <w:rFonts w:hint="eastAsia" w:ascii="宋体" w:hAnsi="宋体" w:eastAsia="宋体" w:cs="宋体"/>
          <w:b/>
          <w:bCs/>
          <w:color w:val="auto"/>
          <w:sz w:val="44"/>
          <w:szCs w:val="44"/>
          <w:highlight w:val="none"/>
          <w:lang w:val="en-US" w:eastAsia="zh-CN"/>
        </w:rPr>
      </w:pPr>
      <w:bookmarkStart w:id="1" w:name="OLE_LINK6"/>
      <w:r>
        <w:rPr>
          <w:rFonts w:hint="eastAsia" w:ascii="宋体" w:hAnsi="宋体" w:eastAsia="宋体" w:cs="宋体"/>
          <w:b/>
          <w:bCs/>
          <w:color w:val="auto"/>
          <w:sz w:val="44"/>
          <w:szCs w:val="44"/>
          <w:highlight w:val="none"/>
          <w:lang w:val="en-US" w:eastAsia="zh-CN"/>
        </w:rPr>
        <w:t>湛江中心人民医院</w:t>
      </w:r>
      <w:bookmarkEnd w:id="1"/>
      <w:r>
        <w:rPr>
          <w:rFonts w:hint="eastAsia" w:ascii="宋体" w:hAnsi="宋体" w:eastAsia="宋体" w:cs="宋体"/>
          <w:b/>
          <w:bCs/>
          <w:color w:val="auto"/>
          <w:sz w:val="44"/>
          <w:szCs w:val="44"/>
          <w:highlight w:val="none"/>
          <w:lang w:val="en-US" w:eastAsia="zh-CN"/>
        </w:rPr>
        <w:t>2026-2027年医疗责任保险项目需求书</w:t>
      </w:r>
    </w:p>
    <w:p w14:paraId="2B8288EB">
      <w:pPr>
        <w:keepNext w:val="0"/>
        <w:keepLines w:val="0"/>
        <w:pageBreakBefore w:val="0"/>
        <w:widowControl w:val="0"/>
        <w:kinsoku/>
        <w:wordWrap w:val="0"/>
        <w:overflowPunct/>
        <w:topLinePunct w:val="0"/>
        <w:autoSpaceDE/>
        <w:autoSpaceDN/>
        <w:bidi w:val="0"/>
        <w:adjustRightInd w:val="0"/>
        <w:snapToGrid/>
        <w:spacing w:line="720" w:lineRule="auto"/>
        <w:jc w:val="center"/>
        <w:textAlignment w:val="auto"/>
        <w:rPr>
          <w:rFonts w:hint="eastAsia" w:ascii="宋体" w:hAnsi="宋体" w:eastAsia="宋体" w:cs="宋体"/>
          <w:b/>
          <w:bCs/>
          <w:color w:val="auto"/>
          <w:sz w:val="44"/>
          <w:szCs w:val="44"/>
          <w:highlight w:val="none"/>
          <w:lang w:val="en-US" w:eastAsia="zh-CN"/>
        </w:rPr>
      </w:pPr>
    </w:p>
    <w:p w14:paraId="3F03151D">
      <w:pPr>
        <w:keepNext w:val="0"/>
        <w:keepLines w:val="0"/>
        <w:pageBreakBefore w:val="0"/>
        <w:widowControl w:val="0"/>
        <w:kinsoku/>
        <w:wordWrap w:val="0"/>
        <w:overflowPunct/>
        <w:topLinePunct w:val="0"/>
        <w:autoSpaceDE/>
        <w:autoSpaceDN/>
        <w:bidi w:val="0"/>
        <w:adjustRightInd w:val="0"/>
        <w:snapToGrid/>
        <w:spacing w:line="720" w:lineRule="auto"/>
        <w:jc w:val="center"/>
        <w:textAlignment w:val="auto"/>
        <w:rPr>
          <w:rFonts w:hint="eastAsia" w:ascii="宋体" w:hAnsi="宋体" w:eastAsia="宋体" w:cs="宋体"/>
          <w:b/>
          <w:bCs/>
          <w:color w:val="auto"/>
          <w:sz w:val="44"/>
          <w:szCs w:val="44"/>
          <w:highlight w:val="none"/>
          <w:lang w:val="en-US" w:eastAsia="zh-CN"/>
        </w:rPr>
      </w:pPr>
    </w:p>
    <w:p w14:paraId="4F55A6B6">
      <w:pPr>
        <w:keepNext w:val="0"/>
        <w:keepLines w:val="0"/>
        <w:pageBreakBefore w:val="0"/>
        <w:widowControl w:val="0"/>
        <w:kinsoku/>
        <w:wordWrap w:val="0"/>
        <w:overflowPunct/>
        <w:topLinePunct w:val="0"/>
        <w:autoSpaceDE/>
        <w:autoSpaceDN/>
        <w:bidi w:val="0"/>
        <w:adjustRightInd w:val="0"/>
        <w:snapToGrid/>
        <w:spacing w:line="720" w:lineRule="auto"/>
        <w:jc w:val="center"/>
        <w:textAlignment w:val="auto"/>
        <w:rPr>
          <w:rFonts w:hint="eastAsia" w:ascii="宋体" w:hAnsi="宋体" w:eastAsia="宋体" w:cs="宋体"/>
          <w:b/>
          <w:bCs/>
          <w:color w:val="auto"/>
          <w:sz w:val="44"/>
          <w:szCs w:val="44"/>
          <w:highlight w:val="none"/>
          <w:lang w:val="en-US" w:eastAsia="zh-CN"/>
        </w:rPr>
      </w:pPr>
    </w:p>
    <w:p w14:paraId="080A42CB">
      <w:pPr>
        <w:keepNext w:val="0"/>
        <w:keepLines w:val="0"/>
        <w:pageBreakBefore w:val="0"/>
        <w:widowControl w:val="0"/>
        <w:kinsoku/>
        <w:wordWrap w:val="0"/>
        <w:overflowPunct/>
        <w:topLinePunct w:val="0"/>
        <w:autoSpaceDE/>
        <w:autoSpaceDN/>
        <w:bidi w:val="0"/>
        <w:adjustRightInd w:val="0"/>
        <w:snapToGrid/>
        <w:spacing w:line="720" w:lineRule="auto"/>
        <w:jc w:val="center"/>
        <w:textAlignment w:val="auto"/>
        <w:rPr>
          <w:rFonts w:hint="eastAsia" w:ascii="宋体" w:hAnsi="宋体" w:eastAsia="宋体" w:cs="宋体"/>
          <w:b/>
          <w:bCs/>
          <w:color w:val="auto"/>
          <w:sz w:val="44"/>
          <w:szCs w:val="44"/>
          <w:highlight w:val="none"/>
          <w:lang w:val="en-US" w:eastAsia="zh-CN"/>
        </w:rPr>
      </w:pPr>
    </w:p>
    <w:p w14:paraId="190AD8EA">
      <w:pPr>
        <w:jc w:val="center"/>
        <w:rPr>
          <w:rFonts w:hint="eastAsia" w:ascii="宋体" w:hAnsi="宋体" w:eastAsia="宋体"/>
          <w:color w:val="auto"/>
          <w:sz w:val="28"/>
          <w:szCs w:val="28"/>
          <w:highlight w:val="none"/>
          <w:lang w:val="en-US" w:eastAsia="zh-CN"/>
        </w:rPr>
      </w:pPr>
      <w:r>
        <w:rPr>
          <w:rFonts w:hint="eastAsia" w:ascii="宋体" w:hAnsi="宋体" w:eastAsia="宋体"/>
          <w:color w:val="auto"/>
          <w:sz w:val="28"/>
          <w:szCs w:val="28"/>
          <w:highlight w:val="none"/>
          <w:lang w:val="en-US" w:eastAsia="zh-CN"/>
        </w:rPr>
        <w:t>采购人：湛江中心人民医院</w:t>
      </w:r>
    </w:p>
    <w:p w14:paraId="5231D3F3">
      <w:pPr>
        <w:jc w:val="center"/>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2026</w:t>
      </w:r>
      <w:r>
        <w:rPr>
          <w:rFonts w:hint="eastAsia" w:ascii="宋体" w:hAnsi="宋体" w:eastAsia="宋体" w:cs="宋体"/>
          <w:b w:val="0"/>
          <w:bCs w:val="0"/>
          <w:color w:val="auto"/>
          <w:sz w:val="28"/>
          <w:szCs w:val="28"/>
          <w:highlight w:val="none"/>
        </w:rPr>
        <w:t>年</w:t>
      </w:r>
      <w:r>
        <w:rPr>
          <w:rFonts w:hint="eastAsia" w:ascii="宋体" w:hAnsi="宋体" w:eastAsia="宋体" w:cs="宋体"/>
          <w:b w:val="0"/>
          <w:bCs w:val="0"/>
          <w:color w:val="auto"/>
          <w:sz w:val="28"/>
          <w:szCs w:val="28"/>
          <w:highlight w:val="none"/>
          <w:lang w:val="en-US" w:eastAsia="zh-CN"/>
        </w:rPr>
        <w:t xml:space="preserve">   </w:t>
      </w:r>
      <w:r>
        <w:rPr>
          <w:rFonts w:hint="eastAsia" w:ascii="宋体" w:hAnsi="宋体" w:eastAsia="宋体" w:cs="宋体"/>
          <w:b w:val="0"/>
          <w:bCs w:val="0"/>
          <w:color w:val="auto"/>
          <w:sz w:val="28"/>
          <w:szCs w:val="28"/>
          <w:highlight w:val="none"/>
        </w:rPr>
        <w:t>月</w:t>
      </w:r>
      <w:r>
        <w:rPr>
          <w:rFonts w:hint="eastAsia" w:ascii="宋体" w:hAnsi="宋体" w:eastAsia="宋体" w:cs="宋体"/>
          <w:b w:val="0"/>
          <w:bCs w:val="0"/>
          <w:color w:val="auto"/>
          <w:sz w:val="28"/>
          <w:szCs w:val="28"/>
          <w:highlight w:val="none"/>
          <w:lang w:val="en-US" w:eastAsia="zh-CN"/>
        </w:rPr>
        <w:t xml:space="preserve">   日</w:t>
      </w:r>
      <w:bookmarkEnd w:id="0"/>
      <w:bookmarkStart w:id="2" w:name="_Toc9424"/>
      <w:bookmarkStart w:id="3" w:name="_Toc32537"/>
      <w:bookmarkStart w:id="4" w:name="_Toc30081"/>
      <w:bookmarkStart w:id="5" w:name="_Toc5540"/>
    </w:p>
    <w:p w14:paraId="24820674">
      <w:pPr>
        <w:jc w:val="center"/>
        <w:rPr>
          <w:rFonts w:hint="eastAsia" w:ascii="宋体" w:hAnsi="宋体" w:eastAsia="宋体" w:cs="宋体"/>
          <w:b/>
          <w:bCs/>
          <w:color w:val="auto"/>
          <w:sz w:val="28"/>
          <w:szCs w:val="28"/>
          <w:highlight w:val="none"/>
          <w:lang w:val="en-US" w:eastAsia="zh-CN"/>
        </w:rPr>
      </w:pPr>
    </w:p>
    <w:p w14:paraId="071E1169">
      <w:pP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bookmarkEnd w:id="2"/>
    <w:bookmarkEnd w:id="3"/>
    <w:bookmarkEnd w:id="4"/>
    <w:bookmarkEnd w:id="5"/>
    <w:p w14:paraId="0FB4E998">
      <w:pPr>
        <w:keepNext w:val="0"/>
        <w:keepLines w:val="0"/>
        <w:pageBreakBefore/>
        <w:widowControl w:val="0"/>
        <w:kinsoku/>
        <w:wordWrap w:val="0"/>
        <w:overflowPunct/>
        <w:topLinePunct w:val="0"/>
        <w:autoSpaceDE/>
        <w:autoSpaceDN/>
        <w:bidi w:val="0"/>
        <w:adjustRightInd/>
        <w:snapToGrid/>
        <w:spacing w:before="0" w:after="0" w:line="360" w:lineRule="auto"/>
        <w:jc w:val="center"/>
        <w:textAlignment w:val="auto"/>
        <w:outlineLvl w:val="0"/>
        <w:rPr>
          <w:rFonts w:hint="eastAsia" w:ascii="黑体" w:hAnsi="黑体" w:eastAsia="黑体" w:cs="黑体"/>
          <w:b/>
          <w:bCs/>
          <w:sz w:val="32"/>
          <w:szCs w:val="48"/>
          <w:lang w:eastAsia="zh-CN"/>
        </w:rPr>
      </w:pPr>
      <w:bookmarkStart w:id="6" w:name="_Toc8927"/>
      <w:bookmarkStart w:id="7" w:name="_Toc24671"/>
      <w:r>
        <w:rPr>
          <w:rFonts w:hint="eastAsia" w:ascii="黑体" w:hAnsi="黑体" w:eastAsia="黑体" w:cs="黑体"/>
          <w:b/>
          <w:bCs/>
          <w:sz w:val="32"/>
          <w:szCs w:val="48"/>
          <w:lang w:val="en-US" w:eastAsia="zh-CN"/>
        </w:rPr>
        <w:t>项目需求</w:t>
      </w:r>
    </w:p>
    <w:p w14:paraId="2E25E30C">
      <w:pPr>
        <w:pStyle w:val="3"/>
        <w:keepNext w:val="0"/>
        <w:keepLines w:val="0"/>
        <w:pageBreakBefore w:val="0"/>
        <w:widowControl w:val="0"/>
        <w:kinsoku/>
        <w:wordWrap w:val="0"/>
        <w:overflowPunct/>
        <w:topLinePunct w:val="0"/>
        <w:autoSpaceDE/>
        <w:autoSpaceDN/>
        <w:bidi w:val="0"/>
        <w:adjustRightInd w:val="0"/>
        <w:snapToGrid/>
        <w:spacing w:before="0" w:after="0" w:line="360" w:lineRule="auto"/>
        <w:ind w:firstLine="562" w:firstLineChars="200"/>
        <w:jc w:val="left"/>
        <w:textAlignment w:val="auto"/>
        <w:outlineLvl w:val="1"/>
        <w:rPr>
          <w:rFonts w:hint="default" w:ascii="宋体" w:hAnsi="宋体"/>
          <w:b/>
          <w:bCs/>
          <w:color w:val="auto"/>
          <w:sz w:val="28"/>
          <w:szCs w:val="28"/>
          <w:highlight w:val="none"/>
          <w:lang w:val="en-US" w:eastAsia="zh-CN"/>
        </w:rPr>
      </w:pPr>
      <w:r>
        <w:rPr>
          <w:rFonts w:hint="eastAsia" w:ascii="宋体" w:hAnsi="宋体"/>
          <w:b/>
          <w:bCs/>
          <w:color w:val="auto"/>
          <w:sz w:val="28"/>
          <w:szCs w:val="28"/>
          <w:highlight w:val="none"/>
          <w:lang w:val="en-US" w:eastAsia="zh-CN"/>
        </w:rPr>
        <w:t>一、基本信息</w:t>
      </w:r>
    </w:p>
    <w:tbl>
      <w:tblPr>
        <w:tblStyle w:val="2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92"/>
        <w:gridCol w:w="4247"/>
      </w:tblGrid>
      <w:tr w14:paraId="42F36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4892" w:type="dxa"/>
            <w:vAlign w:val="center"/>
          </w:tcPr>
          <w:p w14:paraId="2F6436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Theme="minorEastAsia"/>
                <w:b w:val="0"/>
                <w:bCs w:val="0"/>
                <w:color w:val="000000" w:themeColor="text1"/>
                <w:sz w:val="24"/>
                <w:szCs w:val="24"/>
                <w:highlight w:val="none"/>
                <w:lang w:val="en-US" w:eastAsia="zh-CN"/>
                <w14:textFill>
                  <w14:solidFill>
                    <w14:schemeClr w14:val="tx1"/>
                  </w14:solidFill>
                </w14:textFill>
              </w:rPr>
            </w:pPr>
            <w:r>
              <w:rPr>
                <w:rFonts w:hint="eastAsia" w:ascii="宋体" w:hAnsi="宋体"/>
                <w:b w:val="0"/>
                <w:bCs w:val="0"/>
                <w:color w:val="000000" w:themeColor="text1"/>
                <w:sz w:val="24"/>
                <w:szCs w:val="24"/>
                <w:highlight w:val="none"/>
                <w:lang w:val="en-US" w:eastAsia="zh-CN"/>
                <w14:textFill>
                  <w14:solidFill>
                    <w14:schemeClr w14:val="tx1"/>
                  </w14:solidFill>
                </w14:textFill>
              </w:rPr>
              <w:t>医疗机构名称</w:t>
            </w:r>
          </w:p>
        </w:tc>
        <w:tc>
          <w:tcPr>
            <w:tcW w:w="4247" w:type="dxa"/>
            <w:vAlign w:val="center"/>
          </w:tcPr>
          <w:p w14:paraId="40CD01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val="0"/>
                <w:bCs w:val="0"/>
                <w:color w:val="000000" w:themeColor="text1"/>
                <w:sz w:val="24"/>
                <w:szCs w:val="24"/>
                <w:highlight w:val="none"/>
                <w:lang w:val="en-US" w:eastAsia="zh-CN"/>
                <w14:textFill>
                  <w14:solidFill>
                    <w14:schemeClr w14:val="tx1"/>
                  </w14:solidFill>
                </w14:textFill>
              </w:rPr>
            </w:pPr>
            <w:r>
              <w:rPr>
                <w:rFonts w:hint="eastAsia" w:ascii="宋体" w:hAnsi="宋体"/>
                <w:b w:val="0"/>
                <w:bCs w:val="0"/>
                <w:color w:val="000000" w:themeColor="text1"/>
                <w:sz w:val="24"/>
                <w:szCs w:val="24"/>
                <w:highlight w:val="none"/>
                <w:lang w:val="en-US" w:eastAsia="zh-CN"/>
                <w14:textFill>
                  <w14:solidFill>
                    <w14:schemeClr w14:val="tx1"/>
                  </w14:solidFill>
                </w14:textFill>
              </w:rPr>
              <w:t>湛江中心人民医院</w:t>
            </w:r>
          </w:p>
        </w:tc>
      </w:tr>
      <w:tr w14:paraId="13C9E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4892" w:type="dxa"/>
            <w:vAlign w:val="center"/>
          </w:tcPr>
          <w:p w14:paraId="464C69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b w:val="0"/>
                <w:bCs w:val="0"/>
                <w:color w:val="000000" w:themeColor="text1"/>
                <w:sz w:val="24"/>
                <w:szCs w:val="24"/>
                <w:highlight w:val="none"/>
                <w14:textFill>
                  <w14:solidFill>
                    <w14:schemeClr w14:val="tx1"/>
                  </w14:solidFill>
                </w14:textFill>
              </w:rPr>
            </w:pPr>
            <w:r>
              <w:rPr>
                <w:rFonts w:hint="eastAsia" w:ascii="宋体" w:hAnsi="宋体"/>
                <w:b w:val="0"/>
                <w:bCs w:val="0"/>
                <w:color w:val="000000" w:themeColor="text1"/>
                <w:sz w:val="24"/>
                <w:szCs w:val="24"/>
                <w:highlight w:val="none"/>
                <w14:textFill>
                  <w14:solidFill>
                    <w14:schemeClr w14:val="tx1"/>
                  </w14:solidFill>
                </w14:textFill>
              </w:rPr>
              <w:t>医疗机构等级</w:t>
            </w:r>
          </w:p>
        </w:tc>
        <w:tc>
          <w:tcPr>
            <w:tcW w:w="4247" w:type="dxa"/>
            <w:vAlign w:val="center"/>
          </w:tcPr>
          <w:p w14:paraId="546622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val="0"/>
                <w:bCs w:val="0"/>
                <w:color w:val="000000" w:themeColor="text1"/>
                <w:sz w:val="24"/>
                <w:szCs w:val="24"/>
                <w:highlight w:val="none"/>
                <w:lang w:val="en-US" w:eastAsia="zh-CN"/>
                <w14:textFill>
                  <w14:solidFill>
                    <w14:schemeClr w14:val="tx1"/>
                  </w14:solidFill>
                </w14:textFill>
              </w:rPr>
            </w:pPr>
            <w:r>
              <w:rPr>
                <w:rFonts w:hint="eastAsia" w:ascii="宋体" w:hAnsi="宋体"/>
                <w:b w:val="0"/>
                <w:bCs w:val="0"/>
                <w:color w:val="000000" w:themeColor="text1"/>
                <w:sz w:val="24"/>
                <w:szCs w:val="24"/>
                <w:highlight w:val="none"/>
                <w:lang w:val="en-US" w:eastAsia="zh-CN"/>
                <w14:textFill>
                  <w14:solidFill>
                    <w14:schemeClr w14:val="tx1"/>
                  </w14:solidFill>
                </w14:textFill>
              </w:rPr>
              <w:t>三级</w:t>
            </w:r>
          </w:p>
        </w:tc>
      </w:tr>
      <w:tr w14:paraId="34E48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4892" w:type="dxa"/>
            <w:vAlign w:val="center"/>
          </w:tcPr>
          <w:p w14:paraId="24A582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b w:val="0"/>
                <w:bCs w:val="0"/>
                <w:color w:val="000000" w:themeColor="text1"/>
                <w:sz w:val="24"/>
                <w:szCs w:val="24"/>
                <w:highlight w:val="none"/>
                <w14:textFill>
                  <w14:solidFill>
                    <w14:schemeClr w14:val="tx1"/>
                  </w14:solidFill>
                </w14:textFill>
              </w:rPr>
            </w:pPr>
            <w:r>
              <w:rPr>
                <w:rFonts w:hint="eastAsia" w:ascii="宋体" w:hAnsi="宋体"/>
                <w:b w:val="0"/>
                <w:bCs w:val="0"/>
                <w:color w:val="000000" w:themeColor="text1"/>
                <w:sz w:val="24"/>
                <w:szCs w:val="24"/>
                <w:highlight w:val="none"/>
                <w14:textFill>
                  <w14:solidFill>
                    <w14:schemeClr w14:val="tx1"/>
                  </w14:solidFill>
                </w14:textFill>
              </w:rPr>
              <w:t>医疗机构类别</w:t>
            </w:r>
          </w:p>
        </w:tc>
        <w:tc>
          <w:tcPr>
            <w:tcW w:w="4247" w:type="dxa"/>
            <w:vAlign w:val="center"/>
          </w:tcPr>
          <w:p w14:paraId="690B10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b w:val="0"/>
                <w:bCs w:val="0"/>
                <w:color w:val="000000" w:themeColor="text1"/>
                <w:sz w:val="24"/>
                <w:szCs w:val="24"/>
                <w:highlight w:val="none"/>
                <w:lang w:val="en-US" w:eastAsia="zh-CN"/>
                <w14:textFill>
                  <w14:solidFill>
                    <w14:schemeClr w14:val="tx1"/>
                  </w14:solidFill>
                </w14:textFill>
              </w:rPr>
            </w:pPr>
            <w:r>
              <w:rPr>
                <w:rFonts w:hint="eastAsia" w:ascii="宋体" w:hAnsi="宋体"/>
                <w:b w:val="0"/>
                <w:bCs w:val="0"/>
                <w:color w:val="000000" w:themeColor="text1"/>
                <w:sz w:val="24"/>
                <w:szCs w:val="24"/>
                <w:highlight w:val="none"/>
                <w:lang w:val="en-US" w:eastAsia="zh-CN"/>
                <w14:textFill>
                  <w14:solidFill>
                    <w14:schemeClr w14:val="tx1"/>
                  </w14:solidFill>
                </w14:textFill>
              </w:rPr>
              <w:t>综合</w:t>
            </w:r>
          </w:p>
        </w:tc>
      </w:tr>
      <w:tr w14:paraId="15E79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4892" w:type="dxa"/>
            <w:vAlign w:val="center"/>
          </w:tcPr>
          <w:p w14:paraId="1D4048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b w:val="0"/>
                <w:bCs w:val="0"/>
                <w:color w:val="000000" w:themeColor="text1"/>
                <w:sz w:val="24"/>
                <w:szCs w:val="24"/>
                <w:highlight w:val="yellow"/>
                <w14:textFill>
                  <w14:solidFill>
                    <w14:schemeClr w14:val="tx1"/>
                  </w14:solidFill>
                </w14:textFill>
              </w:rPr>
            </w:pPr>
            <w:r>
              <w:rPr>
                <w:rFonts w:hint="eastAsia" w:ascii="宋体" w:hAnsi="宋体"/>
                <w:b w:val="0"/>
                <w:bCs w:val="0"/>
                <w:color w:val="000000" w:themeColor="text1"/>
                <w:sz w:val="24"/>
                <w:szCs w:val="24"/>
                <w:highlight w:val="yellow"/>
                <w14:textFill>
                  <w14:solidFill>
                    <w14:schemeClr w14:val="tx1"/>
                  </w14:solidFill>
                </w14:textFill>
              </w:rPr>
              <w:t>床位数</w:t>
            </w:r>
          </w:p>
        </w:tc>
        <w:tc>
          <w:tcPr>
            <w:tcW w:w="4247" w:type="dxa"/>
            <w:vAlign w:val="center"/>
          </w:tcPr>
          <w:p w14:paraId="41C27A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eastAsiaTheme="minorEastAsia"/>
                <w:b w:val="0"/>
                <w:bCs w:val="0"/>
                <w:color w:val="000000" w:themeColor="text1"/>
                <w:sz w:val="24"/>
                <w:szCs w:val="24"/>
                <w:highlight w:val="yellow"/>
                <w:lang w:val="en-US" w:eastAsia="zh-CN"/>
                <w14:textFill>
                  <w14:solidFill>
                    <w14:schemeClr w14:val="tx1"/>
                  </w14:solidFill>
                </w14:textFill>
              </w:rPr>
            </w:pPr>
            <w:r>
              <w:rPr>
                <w:rFonts w:hint="eastAsia" w:ascii="仿宋" w:hAnsi="仿宋" w:eastAsia="仿宋"/>
                <w:sz w:val="28"/>
                <w:szCs w:val="28"/>
                <w:highlight w:val="yellow"/>
              </w:rPr>
              <w:t>2000</w:t>
            </w:r>
          </w:p>
        </w:tc>
      </w:tr>
      <w:tr w14:paraId="7D0E5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4892" w:type="dxa"/>
            <w:vAlign w:val="center"/>
          </w:tcPr>
          <w:p w14:paraId="724A2C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b w:val="0"/>
                <w:bCs w:val="0"/>
                <w:color w:val="000000" w:themeColor="text1"/>
                <w:sz w:val="24"/>
                <w:szCs w:val="24"/>
                <w:highlight w:val="yellow"/>
                <w14:textFill>
                  <w14:solidFill>
                    <w14:schemeClr w14:val="tx1"/>
                  </w14:solidFill>
                </w14:textFill>
              </w:rPr>
            </w:pPr>
            <w:r>
              <w:rPr>
                <w:rFonts w:hint="eastAsia" w:ascii="宋体" w:hAnsi="宋体"/>
                <w:b w:val="0"/>
                <w:bCs w:val="0"/>
                <w:color w:val="000000" w:themeColor="text1"/>
                <w:sz w:val="24"/>
                <w:szCs w:val="24"/>
                <w:highlight w:val="yellow"/>
                <w14:textFill>
                  <w14:solidFill>
                    <w14:schemeClr w14:val="tx1"/>
                  </w14:solidFill>
                </w14:textFill>
              </w:rPr>
              <w:t>医务人员数</w:t>
            </w:r>
          </w:p>
        </w:tc>
        <w:tc>
          <w:tcPr>
            <w:tcW w:w="4247" w:type="dxa"/>
            <w:vAlign w:val="center"/>
          </w:tcPr>
          <w:p w14:paraId="5A05EF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eastAsiaTheme="minorEastAsia"/>
                <w:b w:val="0"/>
                <w:bCs w:val="0"/>
                <w:color w:val="000000" w:themeColor="text1"/>
                <w:sz w:val="24"/>
                <w:szCs w:val="24"/>
                <w:highlight w:val="yellow"/>
                <w:lang w:val="en-US" w:eastAsia="zh-CN"/>
                <w14:textFill>
                  <w14:solidFill>
                    <w14:schemeClr w14:val="tx1"/>
                  </w14:solidFill>
                </w14:textFill>
              </w:rPr>
            </w:pPr>
            <w:r>
              <w:rPr>
                <w:rFonts w:hint="eastAsia" w:ascii="仿宋" w:hAnsi="仿宋" w:eastAsia="仿宋"/>
                <w:sz w:val="28"/>
                <w:szCs w:val="28"/>
                <w:highlight w:val="yellow"/>
              </w:rPr>
              <w:t>2192</w:t>
            </w:r>
          </w:p>
        </w:tc>
      </w:tr>
      <w:tr w14:paraId="176C7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4892" w:type="dxa"/>
            <w:vAlign w:val="center"/>
          </w:tcPr>
          <w:p w14:paraId="1506A1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b w:val="0"/>
                <w:bCs w:val="0"/>
                <w:color w:val="000000" w:themeColor="text1"/>
                <w:sz w:val="24"/>
                <w:szCs w:val="24"/>
                <w:highlight w:val="yellow"/>
                <w14:textFill>
                  <w14:solidFill>
                    <w14:schemeClr w14:val="tx1"/>
                  </w14:solidFill>
                </w14:textFill>
              </w:rPr>
            </w:pPr>
            <w:r>
              <w:rPr>
                <w:rFonts w:hint="eastAsia" w:ascii="宋体" w:hAnsi="宋体"/>
                <w:b w:val="0"/>
                <w:bCs w:val="0"/>
                <w:color w:val="000000" w:themeColor="text1"/>
                <w:sz w:val="24"/>
                <w:szCs w:val="24"/>
                <w:highlight w:val="yellow"/>
                <w14:textFill>
                  <w14:solidFill>
                    <w14:schemeClr w14:val="tx1"/>
                  </w14:solidFill>
                </w14:textFill>
              </w:rPr>
              <w:t>上年度门（急）诊人次</w:t>
            </w:r>
          </w:p>
        </w:tc>
        <w:tc>
          <w:tcPr>
            <w:tcW w:w="4247" w:type="dxa"/>
            <w:vAlign w:val="center"/>
          </w:tcPr>
          <w:p w14:paraId="678B6F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eastAsiaTheme="minorEastAsia"/>
                <w:b w:val="0"/>
                <w:bCs w:val="0"/>
                <w:color w:val="000000" w:themeColor="text1"/>
                <w:sz w:val="24"/>
                <w:szCs w:val="24"/>
                <w:highlight w:val="yellow"/>
                <w:lang w:val="en-US" w:eastAsia="zh-CN"/>
                <w14:textFill>
                  <w14:solidFill>
                    <w14:schemeClr w14:val="tx1"/>
                  </w14:solidFill>
                </w14:textFill>
              </w:rPr>
            </w:pPr>
            <w:r>
              <w:rPr>
                <w:rFonts w:hint="eastAsia" w:ascii="仿宋" w:hAnsi="仿宋" w:eastAsia="仿宋"/>
                <w:sz w:val="28"/>
                <w:szCs w:val="28"/>
                <w:highlight w:val="yellow"/>
              </w:rPr>
              <w:t>1</w:t>
            </w:r>
            <w:r>
              <w:rPr>
                <w:rFonts w:hint="eastAsia" w:ascii="仿宋" w:hAnsi="仿宋" w:eastAsia="仿宋"/>
                <w:sz w:val="28"/>
                <w:szCs w:val="28"/>
                <w:highlight w:val="yellow"/>
                <w:lang w:val="en-US" w:eastAsia="zh-CN"/>
              </w:rPr>
              <w:t>,</w:t>
            </w:r>
            <w:r>
              <w:rPr>
                <w:rFonts w:hint="eastAsia" w:ascii="仿宋" w:hAnsi="仿宋" w:eastAsia="仿宋"/>
                <w:sz w:val="28"/>
                <w:szCs w:val="28"/>
                <w:highlight w:val="yellow"/>
              </w:rPr>
              <w:t>338</w:t>
            </w:r>
            <w:r>
              <w:rPr>
                <w:rFonts w:hint="eastAsia" w:ascii="仿宋" w:hAnsi="仿宋" w:eastAsia="仿宋"/>
                <w:sz w:val="28"/>
                <w:szCs w:val="28"/>
                <w:highlight w:val="yellow"/>
                <w:lang w:val="en-US" w:eastAsia="zh-CN"/>
              </w:rPr>
              <w:t>,</w:t>
            </w:r>
            <w:r>
              <w:rPr>
                <w:rFonts w:hint="eastAsia" w:ascii="仿宋" w:hAnsi="仿宋" w:eastAsia="仿宋"/>
                <w:sz w:val="28"/>
                <w:szCs w:val="28"/>
                <w:highlight w:val="yellow"/>
              </w:rPr>
              <w:t>397</w:t>
            </w:r>
          </w:p>
        </w:tc>
      </w:tr>
      <w:tr w14:paraId="77E23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4892" w:type="dxa"/>
            <w:vAlign w:val="center"/>
          </w:tcPr>
          <w:p w14:paraId="3AA6EC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b w:val="0"/>
                <w:bCs w:val="0"/>
                <w:color w:val="000000" w:themeColor="text1"/>
                <w:sz w:val="24"/>
                <w:szCs w:val="24"/>
                <w:highlight w:val="yellow"/>
                <w14:textFill>
                  <w14:solidFill>
                    <w14:schemeClr w14:val="tx1"/>
                  </w14:solidFill>
                </w14:textFill>
              </w:rPr>
            </w:pPr>
            <w:r>
              <w:rPr>
                <w:rFonts w:hint="eastAsia" w:ascii="宋体" w:hAnsi="宋体"/>
                <w:b w:val="0"/>
                <w:bCs w:val="0"/>
                <w:color w:val="000000" w:themeColor="text1"/>
                <w:sz w:val="24"/>
                <w:szCs w:val="24"/>
                <w:highlight w:val="yellow"/>
                <w14:textFill>
                  <w14:solidFill>
                    <w14:schemeClr w14:val="tx1"/>
                  </w14:solidFill>
                </w14:textFill>
              </w:rPr>
              <w:t>上年度出院人数</w:t>
            </w:r>
          </w:p>
        </w:tc>
        <w:tc>
          <w:tcPr>
            <w:tcW w:w="4247" w:type="dxa"/>
            <w:vAlign w:val="center"/>
          </w:tcPr>
          <w:p w14:paraId="3A082F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eastAsiaTheme="minorEastAsia"/>
                <w:b w:val="0"/>
                <w:bCs w:val="0"/>
                <w:color w:val="000000" w:themeColor="text1"/>
                <w:sz w:val="24"/>
                <w:szCs w:val="24"/>
                <w:highlight w:val="yellow"/>
                <w:lang w:val="en-US" w:eastAsia="zh-CN"/>
                <w14:textFill>
                  <w14:solidFill>
                    <w14:schemeClr w14:val="tx1"/>
                  </w14:solidFill>
                </w14:textFill>
              </w:rPr>
            </w:pPr>
            <w:r>
              <w:rPr>
                <w:rFonts w:hint="eastAsia" w:ascii="仿宋" w:hAnsi="仿宋" w:eastAsia="仿宋"/>
                <w:sz w:val="28"/>
                <w:szCs w:val="28"/>
                <w:highlight w:val="yellow"/>
              </w:rPr>
              <w:t>96</w:t>
            </w:r>
            <w:r>
              <w:rPr>
                <w:rFonts w:hint="eastAsia" w:ascii="仿宋" w:hAnsi="仿宋" w:eastAsia="仿宋"/>
                <w:sz w:val="28"/>
                <w:szCs w:val="28"/>
                <w:highlight w:val="yellow"/>
                <w:lang w:val="en-US" w:eastAsia="zh-CN"/>
              </w:rPr>
              <w:t>,</w:t>
            </w:r>
            <w:r>
              <w:rPr>
                <w:rFonts w:hint="eastAsia" w:ascii="仿宋" w:hAnsi="仿宋" w:eastAsia="仿宋"/>
                <w:sz w:val="28"/>
                <w:szCs w:val="28"/>
                <w:highlight w:val="yellow"/>
              </w:rPr>
              <w:t>868</w:t>
            </w:r>
          </w:p>
        </w:tc>
      </w:tr>
    </w:tbl>
    <w:p w14:paraId="209CB4F5">
      <w:pPr>
        <w:keepNext w:val="0"/>
        <w:keepLines w:val="0"/>
        <w:pageBreakBefore w:val="0"/>
        <w:widowControl w:val="0"/>
        <w:kinsoku/>
        <w:wordWrap w:val="0"/>
        <w:overflowPunct/>
        <w:topLinePunct w:val="0"/>
        <w:autoSpaceDE/>
        <w:autoSpaceDN/>
        <w:bidi w:val="0"/>
        <w:adjustRightInd w:val="0"/>
        <w:snapToGrid/>
        <w:spacing w:before="0" w:after="0" w:line="360" w:lineRule="auto"/>
        <w:ind w:firstLine="482" w:firstLineChars="200"/>
        <w:jc w:val="left"/>
        <w:textAlignment w:val="auto"/>
        <w:outlineLvl w:val="9"/>
        <w:rPr>
          <w:rFonts w:hint="eastAsia" w:ascii="宋体" w:hAnsi="宋体" w:eastAsia="宋体" w:cs="宋体"/>
          <w:b/>
          <w:bCs/>
          <w:color w:val="auto"/>
          <w:sz w:val="24"/>
          <w:szCs w:val="24"/>
          <w:highlight w:val="none"/>
          <w:lang w:val="en-US" w:eastAsia="zh-CN"/>
        </w:rPr>
      </w:pPr>
    </w:p>
    <w:bookmarkEnd w:id="6"/>
    <w:bookmarkEnd w:id="7"/>
    <w:p w14:paraId="0E9A99EB">
      <w:pPr>
        <w:pStyle w:val="3"/>
        <w:keepNext w:val="0"/>
        <w:keepLines w:val="0"/>
        <w:pageBreakBefore w:val="0"/>
        <w:widowControl w:val="0"/>
        <w:kinsoku/>
        <w:wordWrap w:val="0"/>
        <w:overflowPunct/>
        <w:topLinePunct w:val="0"/>
        <w:autoSpaceDE/>
        <w:autoSpaceDN/>
        <w:bidi w:val="0"/>
        <w:adjustRightInd w:val="0"/>
        <w:snapToGrid/>
        <w:spacing w:before="0" w:after="0" w:line="360" w:lineRule="auto"/>
        <w:ind w:firstLine="562" w:firstLineChars="200"/>
        <w:jc w:val="left"/>
        <w:textAlignment w:val="auto"/>
        <w:outlineLvl w:val="1"/>
        <w:rPr>
          <w:rFonts w:hint="eastAsia" w:ascii="宋体" w:hAnsi="宋体"/>
          <w:b/>
          <w:bCs/>
          <w:color w:val="auto"/>
          <w:sz w:val="28"/>
          <w:szCs w:val="28"/>
          <w:highlight w:val="none"/>
          <w:lang w:val="en-US" w:eastAsia="zh-CN"/>
        </w:rPr>
      </w:pPr>
      <w:bookmarkStart w:id="8" w:name="_Toc21373"/>
      <w:bookmarkStart w:id="9" w:name="_Toc9243"/>
      <w:bookmarkStart w:id="10" w:name="_Toc21406"/>
      <w:bookmarkStart w:id="11" w:name="_Toc5760"/>
      <w:r>
        <w:rPr>
          <w:rFonts w:hint="eastAsia" w:ascii="宋体" w:hAnsi="宋体"/>
          <w:b/>
          <w:bCs/>
          <w:color w:val="auto"/>
          <w:sz w:val="28"/>
          <w:szCs w:val="28"/>
          <w:highlight w:val="none"/>
          <w:lang w:val="en-US" w:eastAsia="zh-CN"/>
        </w:rPr>
        <w:t>二、项目预算</w:t>
      </w:r>
      <w:bookmarkEnd w:id="8"/>
      <w:bookmarkEnd w:id="9"/>
      <w:bookmarkEnd w:id="10"/>
      <w:bookmarkEnd w:id="11"/>
    </w:p>
    <w:tbl>
      <w:tblPr>
        <w:tblStyle w:val="25"/>
        <w:tblW w:w="9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8"/>
        <w:gridCol w:w="2235"/>
        <w:gridCol w:w="3529"/>
      </w:tblGrid>
      <w:tr w14:paraId="12E6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4108" w:type="dxa"/>
            <w:vAlign w:val="center"/>
          </w:tcPr>
          <w:p w14:paraId="0C0F82AE">
            <w:pPr>
              <w:keepNext w:val="0"/>
              <w:keepLines w:val="0"/>
              <w:pageBreakBefore w:val="0"/>
              <w:widowControl w:val="0"/>
              <w:tabs>
                <w:tab w:val="left" w:pos="360"/>
              </w:tabs>
              <w:kinsoku/>
              <w:wordWrap w:val="0"/>
              <w:overflowPunct/>
              <w:topLinePunct w:val="0"/>
              <w:autoSpaceDE/>
              <w:autoSpaceDN/>
              <w:bidi w:val="0"/>
              <w:adjustRightInd w:val="0"/>
              <w:snapToGrid/>
              <w:spacing w:line="360" w:lineRule="auto"/>
              <w:jc w:val="center"/>
              <w:textAlignment w:val="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采购内容</w:t>
            </w:r>
          </w:p>
        </w:tc>
        <w:tc>
          <w:tcPr>
            <w:tcW w:w="2235" w:type="dxa"/>
            <w:vAlign w:val="center"/>
          </w:tcPr>
          <w:p w14:paraId="3D1CC354">
            <w:pPr>
              <w:keepNext w:val="0"/>
              <w:keepLines w:val="0"/>
              <w:pageBreakBefore w:val="0"/>
              <w:widowControl w:val="0"/>
              <w:tabs>
                <w:tab w:val="left" w:pos="360"/>
              </w:tabs>
              <w:kinsoku/>
              <w:wordWrap w:val="0"/>
              <w:overflowPunct/>
              <w:topLinePunct w:val="0"/>
              <w:autoSpaceDE/>
              <w:autoSpaceDN/>
              <w:bidi w:val="0"/>
              <w:adjustRightInd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采购预算</w:t>
            </w:r>
          </w:p>
          <w:p w14:paraId="4E621FDD">
            <w:pPr>
              <w:keepNext w:val="0"/>
              <w:keepLines w:val="0"/>
              <w:pageBreakBefore w:val="0"/>
              <w:widowControl w:val="0"/>
              <w:tabs>
                <w:tab w:val="left" w:pos="360"/>
              </w:tabs>
              <w:kinsoku/>
              <w:wordWrap w:val="0"/>
              <w:overflowPunct/>
              <w:topLinePunct w:val="0"/>
              <w:autoSpaceDE/>
              <w:autoSpaceDN/>
              <w:bidi w:val="0"/>
              <w:adjustRightInd w:val="0"/>
              <w:snapToGrid/>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（人民币：元/年）</w:t>
            </w:r>
          </w:p>
        </w:tc>
        <w:tc>
          <w:tcPr>
            <w:tcW w:w="3529" w:type="dxa"/>
            <w:vAlign w:val="center"/>
          </w:tcPr>
          <w:p w14:paraId="08CF1B04">
            <w:pPr>
              <w:keepNext w:val="0"/>
              <w:keepLines w:val="0"/>
              <w:pageBreakBefore w:val="0"/>
              <w:widowControl w:val="0"/>
              <w:tabs>
                <w:tab w:val="left" w:pos="360"/>
              </w:tabs>
              <w:kinsoku/>
              <w:wordWrap w:val="0"/>
              <w:overflowPunct/>
              <w:topLinePunct w:val="0"/>
              <w:autoSpaceDE/>
              <w:autoSpaceDN/>
              <w:bidi w:val="0"/>
              <w:adjustRightInd w:val="0"/>
              <w:snapToGrid/>
              <w:spacing w:line="360" w:lineRule="auto"/>
              <w:jc w:val="center"/>
              <w:textAlignment w:val="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保险期限</w:t>
            </w:r>
          </w:p>
        </w:tc>
      </w:tr>
      <w:tr w14:paraId="18EC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4108" w:type="dxa"/>
            <w:vAlign w:val="center"/>
          </w:tcPr>
          <w:p w14:paraId="549C88F7">
            <w:pPr>
              <w:keepNext w:val="0"/>
              <w:keepLines w:val="0"/>
              <w:pageBreakBefore w:val="0"/>
              <w:widowControl w:val="0"/>
              <w:tabs>
                <w:tab w:val="left" w:pos="360"/>
              </w:tabs>
              <w:kinsoku/>
              <w:wordWrap w:val="0"/>
              <w:overflowPunct/>
              <w:topLinePunct w:val="0"/>
              <w:autoSpaceDE/>
              <w:autoSpaceDN/>
              <w:bidi w:val="0"/>
              <w:adjustRightInd w:val="0"/>
              <w:snapToGrid/>
              <w:spacing w:line="360" w:lineRule="auto"/>
              <w:jc w:val="center"/>
              <w:textAlignment w:val="auto"/>
              <w:rPr>
                <w:rFonts w:ascii="宋体" w:hAnsi="宋体" w:eastAsia="宋体" w:cs="宋体"/>
                <w:color w:val="auto"/>
                <w:sz w:val="24"/>
                <w:szCs w:val="24"/>
                <w:highlight w:val="none"/>
              </w:rPr>
            </w:pPr>
            <w:bookmarkStart w:id="12" w:name="OLE_LINK7"/>
            <w:r>
              <w:rPr>
                <w:rFonts w:hint="eastAsia" w:ascii="宋体" w:hAnsi="宋体" w:eastAsia="宋体" w:cs="宋体"/>
                <w:color w:val="auto"/>
                <w:sz w:val="24"/>
                <w:szCs w:val="24"/>
                <w:highlight w:val="none"/>
                <w:lang w:val="en-US" w:eastAsia="zh-CN"/>
              </w:rPr>
              <w:t>湛江中心人民医院</w:t>
            </w:r>
            <w:bookmarkEnd w:id="12"/>
            <w:r>
              <w:rPr>
                <w:rFonts w:hint="eastAsia" w:ascii="宋体" w:hAnsi="宋体" w:eastAsia="宋体" w:cs="宋体"/>
                <w:color w:val="auto"/>
                <w:sz w:val="24"/>
                <w:szCs w:val="24"/>
                <w:highlight w:val="none"/>
              </w:rPr>
              <w:t>2026-2027年医疗责任保险</w:t>
            </w:r>
          </w:p>
        </w:tc>
        <w:tc>
          <w:tcPr>
            <w:tcW w:w="2235" w:type="dxa"/>
            <w:vAlign w:val="center"/>
          </w:tcPr>
          <w:p w14:paraId="3BF167F1">
            <w:pPr>
              <w:keepNext w:val="0"/>
              <w:keepLines w:val="0"/>
              <w:pageBreakBefore w:val="0"/>
              <w:widowControl w:val="0"/>
              <w:tabs>
                <w:tab w:val="left" w:pos="360"/>
              </w:tabs>
              <w:kinsoku/>
              <w:wordWrap w:val="0"/>
              <w:overflowPunct/>
              <w:topLinePunct w:val="0"/>
              <w:autoSpaceDE/>
              <w:autoSpaceDN/>
              <w:bidi w:val="0"/>
              <w:adjustRightInd w:val="0"/>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100,000.00</w:t>
            </w:r>
          </w:p>
        </w:tc>
        <w:tc>
          <w:tcPr>
            <w:tcW w:w="3529" w:type="dxa"/>
            <w:vAlign w:val="center"/>
          </w:tcPr>
          <w:p w14:paraId="6F0F809C">
            <w:pPr>
              <w:keepNext w:val="0"/>
              <w:keepLines w:val="0"/>
              <w:pageBreakBefore w:val="0"/>
              <w:widowControl w:val="0"/>
              <w:tabs>
                <w:tab w:val="left" w:pos="360"/>
              </w:tabs>
              <w:kinsoku/>
              <w:wordWrap w:val="0"/>
              <w:overflowPunct/>
              <w:topLinePunct w:val="0"/>
              <w:autoSpaceDE/>
              <w:autoSpaceDN/>
              <w:bidi w:val="0"/>
              <w:adjustRightInd w:val="0"/>
              <w:snapToGrid/>
              <w:spacing w:line="360" w:lineRule="auto"/>
              <w:jc w:val="center"/>
              <w:textAlignment w:val="auto"/>
              <w:rPr>
                <w:rFonts w:hint="default"/>
                <w:sz w:val="24"/>
                <w:szCs w:val="24"/>
                <w:lang w:val="en-US"/>
              </w:rPr>
            </w:pPr>
            <w:r>
              <w:rPr>
                <w:rFonts w:hint="eastAsia" w:ascii="宋体" w:hAnsi="宋体" w:eastAsia="宋体" w:cs="宋体"/>
                <w:color w:val="auto"/>
                <w:sz w:val="24"/>
                <w:szCs w:val="24"/>
                <w:highlight w:val="none"/>
                <w:lang w:val="en-US" w:eastAsia="zh-CN"/>
              </w:rPr>
              <w:t>自合同生效之日起一年</w:t>
            </w:r>
          </w:p>
        </w:tc>
      </w:tr>
    </w:tbl>
    <w:p w14:paraId="04609FAD">
      <w:pPr>
        <w:keepNext w:val="0"/>
        <w:keepLines w:val="0"/>
        <w:pageBreakBefore w:val="0"/>
        <w:widowControl w:val="0"/>
        <w:numPr>
          <w:ilvl w:val="0"/>
          <w:numId w:val="0"/>
        </w:numPr>
        <w:kinsoku/>
        <w:wordWrap w:val="0"/>
        <w:overflowPunct/>
        <w:topLinePunct w:val="0"/>
        <w:autoSpaceDE/>
        <w:autoSpaceDN/>
        <w:bidi w:val="0"/>
        <w:adjustRightInd w:val="0"/>
        <w:snapToGrid/>
        <w:spacing w:before="0" w:after="0" w:line="360" w:lineRule="auto"/>
        <w:ind w:firstLine="482" w:firstLineChars="200"/>
        <w:jc w:val="left"/>
        <w:textAlignment w:val="auto"/>
        <w:outlineLvl w:val="9"/>
        <w:rPr>
          <w:rFonts w:hint="eastAsia" w:ascii="宋体" w:hAnsi="宋体" w:cstheme="minorBidi"/>
          <w:b/>
          <w:bCs/>
          <w:color w:val="auto"/>
          <w:kern w:val="44"/>
          <w:sz w:val="24"/>
          <w:szCs w:val="24"/>
          <w:highlight w:val="yellow"/>
          <w:lang w:val="en-US" w:eastAsia="zh-CN" w:bidi="ar-SA"/>
        </w:rPr>
      </w:pPr>
      <w:bookmarkStart w:id="13" w:name="OLE_LINK1"/>
    </w:p>
    <w:p w14:paraId="0D1C81B8">
      <w:pPr>
        <w:pStyle w:val="3"/>
        <w:keepNext w:val="0"/>
        <w:keepLines w:val="0"/>
        <w:pageBreakBefore w:val="0"/>
        <w:widowControl w:val="0"/>
        <w:kinsoku/>
        <w:wordWrap w:val="0"/>
        <w:overflowPunct/>
        <w:topLinePunct w:val="0"/>
        <w:autoSpaceDE/>
        <w:autoSpaceDN/>
        <w:bidi w:val="0"/>
        <w:adjustRightInd w:val="0"/>
        <w:snapToGrid/>
        <w:spacing w:before="0" w:after="0" w:line="360" w:lineRule="auto"/>
        <w:ind w:firstLine="562" w:firstLineChars="200"/>
        <w:jc w:val="left"/>
        <w:textAlignment w:val="auto"/>
        <w:outlineLvl w:val="1"/>
        <w:rPr>
          <w:rFonts w:hint="eastAsia" w:ascii="宋体" w:hAnsi="宋体" w:eastAsia="宋体"/>
          <w:b/>
          <w:bCs/>
          <w:color w:val="auto"/>
          <w:sz w:val="28"/>
          <w:szCs w:val="28"/>
          <w:highlight w:val="none"/>
          <w:lang w:val="en-US" w:eastAsia="zh-CN"/>
        </w:rPr>
      </w:pPr>
      <w:r>
        <w:rPr>
          <w:rFonts w:hint="eastAsia" w:ascii="宋体" w:hAnsi="宋体" w:eastAsia="宋体"/>
          <w:b/>
          <w:bCs/>
          <w:color w:val="auto"/>
          <w:sz w:val="28"/>
          <w:szCs w:val="28"/>
          <w:highlight w:val="none"/>
          <w:lang w:val="en-US" w:eastAsia="zh-CN"/>
        </w:rPr>
        <w:t>三、项目需求</w:t>
      </w:r>
    </w:p>
    <w:p w14:paraId="6B080169">
      <w:pPr>
        <w:pStyle w:val="4"/>
        <w:keepNext w:val="0"/>
        <w:keepLines w:val="0"/>
        <w:pageBreakBefore w:val="0"/>
        <w:widowControl w:val="0"/>
        <w:numPr>
          <w:ilvl w:val="0"/>
          <w:numId w:val="0"/>
        </w:numPr>
        <w:kinsoku/>
        <w:wordWrap w:val="0"/>
        <w:overflowPunct/>
        <w:topLinePunct w:val="0"/>
        <w:autoSpaceDE/>
        <w:autoSpaceDN/>
        <w:bidi w:val="0"/>
        <w:adjustRightInd w:val="0"/>
        <w:snapToGrid/>
        <w:spacing w:before="0" w:after="0" w:line="360" w:lineRule="auto"/>
        <w:ind w:firstLine="562" w:firstLineChars="200"/>
        <w:jc w:val="left"/>
        <w:textAlignment w:val="auto"/>
        <w:outlineLvl w:val="2"/>
        <w:rPr>
          <w:rFonts w:hint="default" w:ascii="宋体" w:hAnsi="宋体"/>
          <w:b/>
          <w:bCs/>
          <w:color w:val="auto"/>
          <w:sz w:val="28"/>
          <w:szCs w:val="28"/>
          <w:highlight w:val="none"/>
          <w:lang w:val="en-US" w:eastAsia="zh-CN"/>
        </w:rPr>
      </w:pPr>
      <w:r>
        <w:rPr>
          <w:rFonts w:hint="eastAsia" w:ascii="宋体" w:hAnsi="宋体"/>
          <w:b/>
          <w:bCs/>
          <w:color w:val="auto"/>
          <w:sz w:val="28"/>
          <w:szCs w:val="28"/>
          <w:highlight w:val="none"/>
          <w:lang w:val="en-US" w:eastAsia="zh-CN"/>
        </w:rPr>
        <w:t>（一）保障方案</w:t>
      </w:r>
    </w:p>
    <w:bookmarkEnd w:id="13"/>
    <w:tbl>
      <w:tblPr>
        <w:tblStyle w:val="25"/>
        <w:tblW w:w="102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5"/>
        <w:gridCol w:w="8373"/>
      </w:tblGrid>
      <w:tr w14:paraId="5D961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5035AF78">
            <w:pPr>
              <w:keepNext w:val="0"/>
              <w:keepLines w:val="0"/>
              <w:pageBreakBefore w:val="0"/>
              <w:widowControl w:val="0"/>
              <w:tabs>
                <w:tab w:val="left" w:pos="1180"/>
              </w:tabs>
              <w:kinsoku/>
              <w:wordWrap w:val="0"/>
              <w:overflowPunct/>
              <w:topLinePunct w:val="0"/>
              <w:autoSpaceDE/>
              <w:autoSpaceDN/>
              <w:bidi w:val="0"/>
              <w:adjustRightInd w:val="0"/>
              <w:snapToGrid/>
              <w:spacing w:line="360" w:lineRule="auto"/>
              <w:ind w:left="0" w:leftChars="0" w:right="0" w:rightChars="0" w:firstLine="0" w:firstLineChars="0"/>
              <w:jc w:val="center"/>
              <w:textAlignment w:val="auto"/>
              <w:rPr>
                <w:rFonts w:hint="eastAsia" w:ascii="宋体" w:hAnsi="宋体" w:eastAsia="宋体" w:cs="宋体"/>
                <w:b/>
                <w:color w:val="auto"/>
                <w:sz w:val="24"/>
                <w:szCs w:val="24"/>
                <w:highlight w:val="none"/>
              </w:rPr>
            </w:pPr>
            <w:bookmarkStart w:id="14" w:name="_Toc8204"/>
            <w:bookmarkStart w:id="15" w:name="_Toc24002"/>
            <w:bookmarkStart w:id="16" w:name="_Toc29299"/>
            <w:r>
              <w:rPr>
                <w:rFonts w:hint="eastAsia" w:ascii="宋体" w:hAnsi="宋体" w:eastAsia="宋体" w:cs="宋体"/>
                <w:b/>
                <w:color w:val="auto"/>
                <w:sz w:val="24"/>
                <w:szCs w:val="24"/>
                <w:highlight w:val="none"/>
              </w:rPr>
              <w:t>项目</w:t>
            </w:r>
          </w:p>
        </w:tc>
        <w:tc>
          <w:tcPr>
            <w:tcW w:w="8373" w:type="dxa"/>
            <w:vAlign w:val="center"/>
          </w:tcPr>
          <w:p w14:paraId="5DFB9C8C">
            <w:pPr>
              <w:keepNext w:val="0"/>
              <w:keepLines w:val="0"/>
              <w:pageBreakBefore w:val="0"/>
              <w:widowControl w:val="0"/>
              <w:tabs>
                <w:tab w:val="left" w:pos="4000"/>
              </w:tabs>
              <w:kinsoku/>
              <w:wordWrap w:val="0"/>
              <w:overflowPunct/>
              <w:topLinePunct w:val="0"/>
              <w:autoSpaceDE/>
              <w:autoSpaceDN/>
              <w:bidi w:val="0"/>
              <w:adjustRightInd w:val="0"/>
              <w:snapToGrid/>
              <w:spacing w:line="360" w:lineRule="auto"/>
              <w:ind w:left="0" w:leftChars="0" w:right="0" w:rightChars="0" w:firstLine="0"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内容</w:t>
            </w:r>
          </w:p>
        </w:tc>
      </w:tr>
      <w:tr w14:paraId="6F442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3282C2F2">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1、投保人名称</w:t>
            </w:r>
          </w:p>
        </w:tc>
        <w:tc>
          <w:tcPr>
            <w:tcW w:w="8373" w:type="dxa"/>
            <w:vAlign w:val="center"/>
          </w:tcPr>
          <w:p w14:paraId="0EBD888C">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湛江中心人民医院</w:t>
            </w:r>
          </w:p>
        </w:tc>
      </w:tr>
      <w:tr w14:paraId="674BE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7F9A9675">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投保人地址</w:t>
            </w:r>
          </w:p>
        </w:tc>
        <w:tc>
          <w:tcPr>
            <w:tcW w:w="8373" w:type="dxa"/>
            <w:vAlign w:val="center"/>
          </w:tcPr>
          <w:p w14:paraId="1E084A32">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广东省湛江市赤坎区源珠路236号；</w:t>
            </w:r>
          </w:p>
          <w:p w14:paraId="2C7E86EE">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广东省湛江市赤坎区康顺路38号之四；  </w:t>
            </w:r>
          </w:p>
          <w:p w14:paraId="6A3F8F3A">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广东省湛江市麻章区金川路瑞金大厦；</w:t>
            </w:r>
          </w:p>
          <w:p w14:paraId="2DCB1C9D">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广东省湛江市赤坎区民主路111号</w:t>
            </w:r>
          </w:p>
        </w:tc>
      </w:tr>
      <w:tr w14:paraId="1FA1E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621AC4AD">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2、被保险人名称</w:t>
            </w:r>
          </w:p>
        </w:tc>
        <w:tc>
          <w:tcPr>
            <w:tcW w:w="8373" w:type="dxa"/>
            <w:vAlign w:val="center"/>
          </w:tcPr>
          <w:p w14:paraId="777BC26D">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湛江中心人民医院</w:t>
            </w:r>
          </w:p>
        </w:tc>
      </w:tr>
      <w:tr w14:paraId="6DDBA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1A617E4B">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被保险人地址</w:t>
            </w:r>
          </w:p>
        </w:tc>
        <w:tc>
          <w:tcPr>
            <w:tcW w:w="8373" w:type="dxa"/>
            <w:vAlign w:val="center"/>
          </w:tcPr>
          <w:p w14:paraId="76118E9E">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广东省湛江市赤坎区源珠路236号；</w:t>
            </w:r>
          </w:p>
          <w:p w14:paraId="08FF37AB">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广东省湛江市赤坎区康顺路38号之四；  </w:t>
            </w:r>
          </w:p>
          <w:p w14:paraId="6972FE31">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广东省湛江市麻章区金川路瑞金大厦；</w:t>
            </w:r>
          </w:p>
          <w:p w14:paraId="45B6ABD3">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广东省湛江市赤坎区民主路111号</w:t>
            </w:r>
          </w:p>
        </w:tc>
      </w:tr>
      <w:tr w14:paraId="2F19A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23C5166F">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3、保险责任范围</w:t>
            </w:r>
          </w:p>
        </w:tc>
        <w:tc>
          <w:tcPr>
            <w:tcW w:w="8373" w:type="dxa"/>
            <w:vAlign w:val="center"/>
          </w:tcPr>
          <w:p w14:paraId="16609B8C">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在保险期间或保险合同载明的追溯期内，被保险人的投保医务人员在本保险单明细表列明的承保区域内从事诊疗护理活动时，因执业过失导致意外事故，造成患者人身损害，由患者或其近亲属在保险期间内首次向被保险人提出损害赔偿请求，依照中华人民共和国法律（不包括港澳台地区法律）应由被保险人承担的经济赔偿责任，保险人按照本保险合同约定负责赔偿。</w:t>
            </w:r>
          </w:p>
          <w:p w14:paraId="7B660570">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保险事故发生后，被保险人因保险事故而被提起仲裁或者诉讼的，对应由被保险人支付的仲裁或诉讼费用以及事先经保险人书面同意支付的其他必要的、合理的费用（以下简称“法律费用”），保险人按照本保险合同约定也负责赔偿。</w:t>
            </w:r>
          </w:p>
        </w:tc>
      </w:tr>
      <w:tr w14:paraId="48545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3AA65006">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4、附加责任</w:t>
            </w:r>
          </w:p>
        </w:tc>
        <w:tc>
          <w:tcPr>
            <w:tcW w:w="8373" w:type="dxa"/>
            <w:vAlign w:val="center"/>
          </w:tcPr>
          <w:p w14:paraId="614C61BE">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1、附加外请医务人员责任</w:t>
            </w:r>
          </w:p>
          <w:p w14:paraId="4938C707">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2、附加实习医学生和试用期医学毕业生责任</w:t>
            </w:r>
          </w:p>
          <w:p w14:paraId="5E72465B">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3、附加进修医务人员责任</w:t>
            </w:r>
          </w:p>
          <w:p w14:paraId="22D13906">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4、附加家庭医疗服务责任</w:t>
            </w:r>
          </w:p>
        </w:tc>
      </w:tr>
      <w:tr w14:paraId="2A12C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34E35443">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val="0"/>
                <w:color w:val="auto"/>
                <w:spacing w:val="1"/>
                <w:position w:val="-1"/>
                <w:sz w:val="24"/>
                <w:szCs w:val="24"/>
                <w:highlight w:val="none"/>
                <w:lang w:val="en-US" w:eastAsia="zh-CN"/>
              </w:rPr>
              <w:t>5、赔偿范围</w:t>
            </w:r>
          </w:p>
        </w:tc>
        <w:tc>
          <w:tcPr>
            <w:tcW w:w="8373" w:type="dxa"/>
            <w:vAlign w:val="center"/>
          </w:tcPr>
          <w:p w14:paraId="1AAC3FF6">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经济赔偿责任参照《民法典》、《最高人民法院关于审理人身损害赔偿案件适用法律若干问题的解释》、《医疗纠纷预防和处理条例》、《医疗事故处理条例》规定计算，具体赔偿项目包括但不限于以下项目：</w:t>
            </w:r>
          </w:p>
          <w:p w14:paraId="0F0C8FE8">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（1）患者因就医治疗支出的各项费用以及因误工减少的收入，包括医疗费、误工费、护理费、交通费、住宿费、住院伙食补助费、必要的营养费；</w:t>
            </w:r>
          </w:p>
          <w:p w14:paraId="2D15A92C">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患者因伤致残的，其因增加生活上需要所支出的必要费用以及因丧失劳动能力导致的收入损失，包括残疾赔偿金、残疾辅助器具费、被扶养人生活费，以及因康复护理、继续治疗实际发生的必要的康复费、护理费、后续治疗费；</w:t>
            </w:r>
          </w:p>
          <w:p w14:paraId="644971BC">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（3）患者死亡的，除应当根据抢救治疗情况赔偿（1）规定的相关费用外，还应当赔偿丧葬费、被扶养人生活费、死亡补偿费以及受害人亲属办理丧葬事宜支出的交通费、住宿费和误工损失等其他合理费用；</w:t>
            </w:r>
          </w:p>
          <w:p w14:paraId="06CF6586">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（4）患者或其近亲属遭受精神损害，经仲裁机构或法院判决、仲裁、调解或经司法局备案的人民调解委员会酌情评鉴所需支付的精神损害抚慰金。</w:t>
            </w:r>
          </w:p>
          <w:p w14:paraId="1F0335D5">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2、根据被保险人的请求，保险人应当直接向患方赔偿保险金。</w:t>
            </w:r>
          </w:p>
          <w:p w14:paraId="387642C3">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b w:val="0"/>
                <w:bCs/>
                <w:color w:val="auto"/>
                <w:sz w:val="24"/>
                <w:szCs w:val="24"/>
                <w:highlight w:val="none"/>
                <w:lang w:val="en-US" w:eastAsia="zh-CN"/>
              </w:rPr>
              <w:t>3、诉讼案件律师费用，保险人应当与被保险人及代理律师签署三方协议，由保险人直接支付给代理律师。</w:t>
            </w:r>
          </w:p>
        </w:tc>
      </w:tr>
      <w:tr w14:paraId="64356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36C17B76">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pacing w:val="1"/>
                <w:position w:val="-1"/>
                <w:sz w:val="24"/>
                <w:szCs w:val="24"/>
                <w:highlight w:val="none"/>
                <w:lang w:val="en-US" w:eastAsia="zh-CN"/>
              </w:rPr>
              <w:t>6</w:t>
            </w:r>
            <w:r>
              <w:rPr>
                <w:rFonts w:hint="eastAsia" w:ascii="宋体" w:hAnsi="宋体" w:eastAsia="宋体" w:cs="宋体"/>
                <w:b/>
                <w:bCs w:val="0"/>
                <w:color w:val="auto"/>
                <w:spacing w:val="1"/>
                <w:position w:val="-1"/>
                <w:sz w:val="24"/>
                <w:szCs w:val="24"/>
                <w:highlight w:val="none"/>
              </w:rPr>
              <w:t>、赔偿限额</w:t>
            </w:r>
          </w:p>
        </w:tc>
        <w:tc>
          <w:tcPr>
            <w:tcW w:w="8373" w:type="dxa"/>
            <w:vAlign w:val="center"/>
          </w:tcPr>
          <w:p w14:paraId="6CC63575">
            <w:pPr>
              <w:pStyle w:val="68"/>
              <w:ind w:left="0" w:leftChars="0" w:firstLine="0" w:firstLineChars="0"/>
              <w:rPr>
                <w:rFonts w:hint="default" w:ascii="宋体" w:hAnsi="宋体" w:eastAsia="宋体" w:cs="宋体"/>
                <w:i w:val="0"/>
                <w:iCs w:val="0"/>
                <w:caps w:val="0"/>
                <w:spacing w:val="0"/>
                <w:kern w:val="0"/>
                <w:sz w:val="24"/>
                <w:szCs w:val="24"/>
                <w:shd w:val="clear" w:color="auto" w:fill="FFFFFF"/>
                <w:vertAlign w:val="baseline"/>
                <w:lang w:val="en-US" w:eastAsia="zh-CN" w:bidi="ar"/>
              </w:rPr>
            </w:pPr>
            <w:r>
              <w:rPr>
                <w:rFonts w:hint="eastAsia" w:ascii="宋体" w:hAnsi="宋体" w:eastAsia="宋体" w:cs="宋体"/>
                <w:b w:val="0"/>
                <w:bCs/>
                <w:color w:val="auto"/>
                <w:sz w:val="24"/>
                <w:szCs w:val="24"/>
                <w:highlight w:val="none"/>
                <w:lang w:val="en-US" w:eastAsia="zh-CN"/>
              </w:rPr>
              <w:t>（1）累计赔偿限额（即全年累计赔偿限额）：人民币12万元；</w:t>
            </w:r>
            <w:r>
              <w:rPr>
                <w:rFonts w:hint="eastAsia" w:ascii="宋体" w:hAnsi="宋体" w:eastAsia="宋体" w:cs="宋体"/>
                <w:b/>
                <w:bCs/>
                <w:i w:val="0"/>
                <w:iCs w:val="0"/>
                <w:caps w:val="0"/>
                <w:spacing w:val="0"/>
                <w:kern w:val="0"/>
                <w:sz w:val="24"/>
                <w:szCs w:val="24"/>
                <w:shd w:val="clear" w:color="auto" w:fill="FFFFFF"/>
                <w:vertAlign w:val="baseline"/>
                <w:lang w:val="en-US" w:eastAsia="zh-CN" w:bidi="ar"/>
              </w:rPr>
              <w:t>其中保险合同赔偿项目死亡赔偿金、残疾赔偿金、丧葬费、医疗费、被扶养人生活费、精神抚慰金、护理费、律师费（含律师费及律师差旅费）、误工费、住院伙食补助费、营养费、受理费、鉴定费、解剖费，自行和解费用的累计赔偿限额：RMB7万元；其他保险合同赔偿项目（住宿费、残疾辅助器具费、交通费、勘验费）累计赔偿限额：RMB 5万元</w:t>
            </w:r>
            <w:r>
              <w:rPr>
                <w:rFonts w:hint="default" w:ascii="宋体" w:hAnsi="宋体" w:eastAsia="宋体" w:cs="宋体"/>
                <w:b/>
                <w:bCs/>
                <w:i w:val="0"/>
                <w:iCs w:val="0"/>
                <w:caps w:val="0"/>
                <w:spacing w:val="0"/>
                <w:kern w:val="0"/>
                <w:sz w:val="24"/>
                <w:szCs w:val="24"/>
                <w:shd w:val="clear" w:color="auto" w:fill="FFFFFF"/>
                <w:vertAlign w:val="baseline"/>
                <w:lang w:val="en-US" w:eastAsia="zh-CN" w:bidi="ar"/>
              </w:rPr>
              <w:t>；</w:t>
            </w:r>
          </w:p>
          <w:p w14:paraId="67E76AE2">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（2）每次事故赔偿限额（即每次保险事故赔偿限额）：人民币3万元；</w:t>
            </w:r>
          </w:p>
          <w:p w14:paraId="6E361E2C">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（3）法律费用每次及累计赔偿限额：人民币1万元。</w:t>
            </w:r>
            <w:bookmarkStart w:id="65" w:name="_GoBack"/>
            <w:bookmarkEnd w:id="65"/>
          </w:p>
        </w:tc>
      </w:tr>
      <w:tr w14:paraId="0B8DF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01FB9B93">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、★免赔额</w:t>
            </w:r>
          </w:p>
        </w:tc>
        <w:tc>
          <w:tcPr>
            <w:tcW w:w="8373" w:type="dxa"/>
            <w:vAlign w:val="center"/>
          </w:tcPr>
          <w:p w14:paraId="0C18BF03">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零免赔</w:t>
            </w:r>
          </w:p>
        </w:tc>
      </w:tr>
      <w:tr w14:paraId="65891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615ECF9D">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、承保基础</w:t>
            </w:r>
          </w:p>
        </w:tc>
        <w:tc>
          <w:tcPr>
            <w:tcW w:w="8373" w:type="dxa"/>
            <w:vAlign w:val="center"/>
          </w:tcPr>
          <w:p w14:paraId="7AD705CA">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期内索赔制</w:t>
            </w:r>
          </w:p>
        </w:tc>
      </w:tr>
      <w:tr w14:paraId="06BB4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5ACA85EF">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default" w:ascii="宋体" w:hAnsi="宋体" w:eastAsia="宋体" w:cs="宋体"/>
                <w:b/>
                <w:sz w:val="24"/>
                <w:szCs w:val="24"/>
                <w:lang w:val="en-US" w:eastAsia="zh-CN"/>
              </w:rPr>
            </w:pPr>
            <w:r>
              <w:rPr>
                <w:rFonts w:hint="eastAsia" w:ascii="宋体" w:hAnsi="宋体" w:eastAsia="宋体" w:cs="宋体"/>
                <w:b/>
                <w:color w:val="auto"/>
                <w:sz w:val="24"/>
                <w:szCs w:val="24"/>
                <w:highlight w:val="none"/>
                <w:lang w:val="en-US" w:eastAsia="zh-CN"/>
              </w:rPr>
              <w:t>9</w:t>
            </w:r>
            <w:r>
              <w:rPr>
                <w:rFonts w:hint="eastAsia" w:ascii="宋体" w:hAnsi="宋体" w:eastAsia="宋体" w:cs="宋体"/>
                <w:b/>
                <w:color w:val="auto"/>
                <w:sz w:val="24"/>
                <w:szCs w:val="24"/>
                <w:highlight w:val="none"/>
              </w:rPr>
              <w:t>、保险期限：</w:t>
            </w:r>
          </w:p>
        </w:tc>
        <w:tc>
          <w:tcPr>
            <w:tcW w:w="8373" w:type="dxa"/>
            <w:vAlign w:val="center"/>
          </w:tcPr>
          <w:p w14:paraId="04B1508C">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b/>
                <w:bCs/>
                <w:kern w:val="0"/>
                <w:sz w:val="24"/>
                <w:szCs w:val="24"/>
              </w:rPr>
            </w:pPr>
            <w:r>
              <w:rPr>
                <w:rFonts w:hint="eastAsia" w:ascii="宋体" w:hAnsi="宋体" w:eastAsia="宋体" w:cs="宋体"/>
                <w:color w:val="auto"/>
                <w:sz w:val="24"/>
                <w:szCs w:val="24"/>
                <w:highlight w:val="none"/>
                <w:lang w:val="en-US" w:eastAsia="zh-CN"/>
              </w:rPr>
              <w:t>自合同生效之日起一年</w:t>
            </w:r>
          </w:p>
        </w:tc>
      </w:tr>
      <w:tr w14:paraId="50B3A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1BF592F6">
            <w:pPr>
              <w:keepNext w:val="0"/>
              <w:keepLines w:val="0"/>
              <w:pageBreakBefore w:val="0"/>
              <w:widowControl w:val="0"/>
              <w:tabs>
                <w:tab w:val="left" w:pos="1620"/>
              </w:tabs>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、理赔及相关事项补充说明</w:t>
            </w:r>
          </w:p>
        </w:tc>
        <w:tc>
          <w:tcPr>
            <w:tcW w:w="8373" w:type="dxa"/>
            <w:vAlign w:val="center"/>
          </w:tcPr>
          <w:p w14:paraId="70F3AD05">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合同所称医疗纠纷是指医患双方因诊疗活动引发的争议。为高效化解医疗纠纷案件，充分保障医疗机构的正常诊疗秩序，依据《广东省医疗纠纷预防与处理办法》，对于赔偿金额（不含法律费用）在人民币1万元以下（含1万元）的医疗纠纷案件，以及对于被保险人或者其医务人员在从事与其资格相符的诊疗活动中存在过错但没有造成患者人身损害的情况，赔偿金额（不含法律费用）在人民币1万元以下（含1万元）的医疗纠纷案件，被保险人依法可自主处理与患方达成赔偿协议。保险人同意，被保险人与患方达成赔偿协议后，保险人根据此赔偿协议进行保险赔付。每个保险年度被保险人通过自主处理此类案件的赔偿金额（不含法律费用）累计不超过应缴保费的10%，自主处理次数不限。</w:t>
            </w:r>
          </w:p>
          <w:p w14:paraId="04F7DC2E">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在保险期限内发生的保险事故结案后，患方如因同一事故再次提起赔偿请求（包含但不限于请求赔偿后续治疗费、后续护理费等），经法院判决或者仲裁裁决确定应由被保险人继续承担的医疗损害赔偿费用以及因患方再次提起赔偿请求而产生的应由被保险人承担的法律费用，保险公司亦应负责赔偿。</w:t>
            </w:r>
          </w:p>
          <w:p w14:paraId="698CEBA3">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保险人同意本保险采用医务人员不记名的方式投保，被保险人应在保险合同成立后30日内提供医务人员数的清单（医院需盖章）供保险人进行核查，该清单仅供保险人核查人数。当被保险人的实际医务人员数变更（增加或减少了投保医务人员数超过的10%）时，被保险人应及时向保险人申报变更后的医务人员数，保险人根据实际增加或减少的医务人员数以及保险期间的剩余期限增加或退还相应的保险费。被保险人的投保医务人员数达到实际应投保医务人员数的90%以上（含90%）属于足额投保，低于90%的属不足额投保，但参与会诊的非本机构医务人员不计入“应投保医务人员数”。</w:t>
            </w:r>
          </w:p>
          <w:p w14:paraId="1775D1AA">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4、被保险人因医疗纠纷处理（包含自行和解和人民调解）过程中，为了查明医疗纠纷原因和损失产生的鉴定费以及其他必要的、合理的费用，保险人按本保险合同条款第五条约定的法律费用负责赔偿。</w:t>
            </w:r>
          </w:p>
          <w:p w14:paraId="4EE875FB">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5、本保险合同约定的医患纠纷人民调解委员会指广东和谐医患纠纷人民调解委员会及其各地市医患纠纷人民调解委员会。</w:t>
            </w:r>
          </w:p>
          <w:p w14:paraId="202AFA7B">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6、确定患方首次向被保险人提出损害赔偿请求的时间规则：</w:t>
            </w:r>
          </w:p>
          <w:p w14:paraId="0E2B4DE0">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患者接受诊疗活动导致人身损害的时间、患方首次投诉时间和医疗机构报案时间在同一保险期间内的案件，以医疗机构报案时填写的时间为准。</w:t>
            </w:r>
          </w:p>
          <w:p w14:paraId="2B88A807">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患者接受诊疗活动导致人身损害的时间、患方首次投诉时间和医疗机构报案时间不在同一保险期内的案件，以下述材料记载时间中最早的日期为准：患方向医疗机构或者行政部门书面投诉材料日期(患方或患方代理人签字）、司法鉴定（含尸检和医疗事故鉴定）的申请日期、人民调解申请日期、法院传票通知日期等与纠纷相关书面材料。</w:t>
            </w:r>
          </w:p>
        </w:tc>
      </w:tr>
      <w:tr w14:paraId="23699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1ADBEF2D">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、赔偿处理：</w:t>
            </w:r>
          </w:p>
        </w:tc>
        <w:tc>
          <w:tcPr>
            <w:tcW w:w="8373" w:type="dxa"/>
            <w:vAlign w:val="center"/>
          </w:tcPr>
          <w:p w14:paraId="3C0C9671">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依据附件一《保险索赔、理赔处理程序预案》、附件二《广东省医疗责任保险赔偿处理办法（暂行）》</w:t>
            </w:r>
          </w:p>
        </w:tc>
      </w:tr>
      <w:tr w14:paraId="31262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376F232C">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、司法管辖：</w:t>
            </w:r>
          </w:p>
        </w:tc>
        <w:tc>
          <w:tcPr>
            <w:tcW w:w="8373" w:type="dxa"/>
            <w:vAlign w:val="center"/>
          </w:tcPr>
          <w:p w14:paraId="77CEB361">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适用于中华人民共和国司法管辖（不含港、澳、台地区法律）</w:t>
            </w:r>
          </w:p>
        </w:tc>
      </w:tr>
      <w:tr w14:paraId="043AD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845" w:type="dxa"/>
            <w:vAlign w:val="center"/>
          </w:tcPr>
          <w:p w14:paraId="41865BB1">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left"/>
              <w:textAlignment w:val="auto"/>
              <w:rPr>
                <w:rFonts w:hint="default" w:ascii="宋体" w:hAnsi="宋体" w:eastAsia="宋体" w:cs="宋体"/>
                <w:b/>
                <w:color w:val="auto"/>
                <w:sz w:val="24"/>
                <w:szCs w:val="24"/>
                <w:highlight w:val="none"/>
                <w:lang w:val="en-US" w:eastAsia="zh-CN"/>
              </w:rPr>
            </w:pPr>
            <w:bookmarkStart w:id="17" w:name="_Toc18447"/>
            <w:bookmarkStart w:id="18" w:name="_Toc28645"/>
            <w:bookmarkStart w:id="19" w:name="_Toc20052"/>
            <w:bookmarkStart w:id="20" w:name="_Toc9976"/>
            <w:bookmarkStart w:id="21" w:name="_Toc9977"/>
            <w:bookmarkStart w:id="22" w:name="_Toc28409"/>
            <w:bookmarkStart w:id="23" w:name="_Toc30195"/>
            <w:bookmarkStart w:id="24" w:name="_Toc25081"/>
            <w:bookmarkStart w:id="25" w:name="_Toc31098"/>
            <w:bookmarkStart w:id="26" w:name="_Toc4834"/>
            <w:bookmarkStart w:id="27" w:name="_Toc8808"/>
            <w:bookmarkStart w:id="28" w:name="_Toc15862"/>
            <w:bookmarkStart w:id="29" w:name="_Toc20432"/>
            <w:bookmarkStart w:id="30" w:name="_Toc3912"/>
            <w:bookmarkStart w:id="31" w:name="_Toc19890"/>
            <w:bookmarkStart w:id="32" w:name="_Toc30223"/>
            <w:bookmarkStart w:id="33" w:name="_Toc1833"/>
            <w:bookmarkStart w:id="34" w:name="_Toc4063"/>
            <w:bookmarkStart w:id="35" w:name="_Toc15547"/>
            <w:bookmarkStart w:id="36" w:name="_Toc31684"/>
            <w:bookmarkStart w:id="37" w:name="_Toc22730"/>
            <w:bookmarkStart w:id="38" w:name="_Toc800"/>
            <w:bookmarkStart w:id="39" w:name="_Toc1088"/>
            <w:bookmarkStart w:id="40" w:name="_Toc2451"/>
            <w:bookmarkStart w:id="41" w:name="_Toc16115"/>
            <w:bookmarkStart w:id="42" w:name="_Toc2458"/>
            <w:bookmarkStart w:id="43" w:name="_Toc7331"/>
            <w:bookmarkStart w:id="44" w:name="_Toc29891"/>
            <w:bookmarkStart w:id="45" w:name="_Toc440831199"/>
            <w:bookmarkStart w:id="46" w:name="_Toc8086"/>
            <w:bookmarkStart w:id="47" w:name="_Toc5163"/>
            <w:bookmarkStart w:id="48" w:name="_Toc22532"/>
            <w:bookmarkStart w:id="49" w:name="_Toc14683"/>
            <w:bookmarkStart w:id="50" w:name="_Toc4098"/>
            <w:bookmarkStart w:id="51" w:name="_Toc27916"/>
            <w:r>
              <w:rPr>
                <w:rFonts w:hint="eastAsia" w:ascii="宋体" w:hAnsi="宋体" w:eastAsia="宋体" w:cs="宋体"/>
                <w:b/>
                <w:color w:val="auto"/>
                <w:sz w:val="24"/>
                <w:szCs w:val="24"/>
                <w:highlight w:val="none"/>
                <w:lang w:val="en-US" w:eastAsia="zh-CN"/>
              </w:rPr>
              <w:t>13、保险费支付：</w:t>
            </w:r>
          </w:p>
        </w:tc>
        <w:tc>
          <w:tcPr>
            <w:tcW w:w="8373" w:type="dxa"/>
            <w:vAlign w:val="center"/>
          </w:tcPr>
          <w:p w14:paraId="0270BF74">
            <w:pPr>
              <w:keepNext w:val="0"/>
              <w:keepLines w:val="0"/>
              <w:pageBreakBefore w:val="0"/>
              <w:widowControl w:val="0"/>
              <w:kinsoku/>
              <w:wordWrap w:val="0"/>
              <w:overflowPunct/>
              <w:topLinePunct w:val="0"/>
              <w:autoSpaceDE/>
              <w:autoSpaceDN/>
              <w:bidi w:val="0"/>
              <w:adjustRightInd w:val="0"/>
              <w:snapToGrid/>
              <w:spacing w:line="360" w:lineRule="auto"/>
              <w:ind w:left="0" w:leftChars="0" w:right="0" w:rightChars="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根据《国家金融监督管理总局关于加强非车险业务监管有关事项的通知》（金发(2025)36号）文件相关要求，</w:t>
            </w:r>
            <w:r>
              <w:rPr>
                <w:rFonts w:hint="eastAsia" w:ascii="宋体" w:hAnsi="宋体" w:eastAsia="宋体" w:cs="宋体"/>
                <w:color w:val="auto"/>
                <w:sz w:val="24"/>
                <w:szCs w:val="24"/>
                <w:highlight w:val="none"/>
                <w:lang w:val="en-US" w:eastAsia="zh-CN"/>
              </w:rPr>
              <w:t>中标人应</w:t>
            </w:r>
            <w:r>
              <w:rPr>
                <w:rFonts w:hint="eastAsia" w:ascii="宋体" w:hAnsi="宋体" w:eastAsia="宋体" w:cs="宋体"/>
                <w:color w:val="auto"/>
                <w:sz w:val="24"/>
                <w:szCs w:val="24"/>
                <w:highlight w:val="none"/>
              </w:rPr>
              <w:t>在收到</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支付的全额保险费后</w:t>
            </w:r>
            <w:r>
              <w:rPr>
                <w:rFonts w:hint="eastAsia" w:ascii="宋体" w:hAnsi="宋体" w:eastAsia="宋体" w:cs="宋体"/>
                <w:color w:val="auto"/>
                <w:sz w:val="24"/>
                <w:szCs w:val="24"/>
                <w:highlight w:val="none"/>
                <w:lang w:val="en-US" w:eastAsia="zh-CN"/>
              </w:rPr>
              <w:t>10个工作日内</w:t>
            </w:r>
            <w:r>
              <w:rPr>
                <w:rFonts w:hint="eastAsia" w:ascii="宋体" w:hAnsi="宋体" w:eastAsia="宋体" w:cs="宋体"/>
                <w:color w:val="auto"/>
                <w:sz w:val="24"/>
                <w:szCs w:val="24"/>
                <w:highlight w:val="none"/>
              </w:rPr>
              <w:t>出具发票</w:t>
            </w:r>
            <w:r>
              <w:rPr>
                <w:rFonts w:hint="eastAsia" w:ascii="宋体" w:hAnsi="宋体" w:eastAsia="宋体" w:cs="宋体"/>
                <w:color w:val="auto"/>
                <w:sz w:val="24"/>
                <w:szCs w:val="24"/>
                <w:highlight w:val="none"/>
                <w:lang w:val="en-US" w:eastAsia="zh-CN"/>
              </w:rPr>
              <w:t>并签署</w:t>
            </w:r>
            <w:r>
              <w:rPr>
                <w:rFonts w:hint="eastAsia" w:ascii="宋体" w:hAnsi="宋体" w:eastAsia="宋体" w:cs="宋体"/>
                <w:color w:val="auto"/>
                <w:sz w:val="24"/>
                <w:szCs w:val="24"/>
                <w:highlight w:val="none"/>
              </w:rPr>
              <w:t>保险合同</w:t>
            </w:r>
            <w:r>
              <w:rPr>
                <w:rFonts w:hint="eastAsia" w:ascii="宋体" w:hAnsi="宋体" w:eastAsia="宋体" w:cs="宋体"/>
                <w:color w:val="auto"/>
                <w:sz w:val="24"/>
                <w:szCs w:val="24"/>
                <w:highlight w:val="none"/>
                <w:lang w:val="en-US" w:eastAsia="zh-CN"/>
              </w:rPr>
              <w:t>。</w:t>
            </w:r>
          </w:p>
        </w:tc>
      </w:tr>
      <w:bookmarkEnd w:id="14"/>
      <w:bookmarkEnd w:id="15"/>
      <w:bookmarkEnd w:id="16"/>
    </w:tbl>
    <w:p w14:paraId="7E381356">
      <w:pPr>
        <w:rPr>
          <w:color w:val="auto"/>
          <w:sz w:val="24"/>
          <w:highlight w:val="none"/>
        </w:rPr>
      </w:pPr>
    </w:p>
    <w:p w14:paraId="2F5A4722">
      <w:pPr>
        <w:pStyle w:val="4"/>
        <w:keepNext w:val="0"/>
        <w:keepLines w:val="0"/>
        <w:pageBreakBefore w:val="0"/>
        <w:widowControl w:val="0"/>
        <w:numPr>
          <w:ilvl w:val="0"/>
          <w:numId w:val="0"/>
        </w:numPr>
        <w:kinsoku/>
        <w:wordWrap w:val="0"/>
        <w:overflowPunct/>
        <w:topLinePunct w:val="0"/>
        <w:autoSpaceDE/>
        <w:autoSpaceDN/>
        <w:bidi w:val="0"/>
        <w:adjustRightInd w:val="0"/>
        <w:snapToGrid/>
        <w:spacing w:before="0" w:after="0" w:line="360" w:lineRule="auto"/>
        <w:ind w:firstLine="562" w:firstLineChars="200"/>
        <w:jc w:val="left"/>
        <w:textAlignment w:val="auto"/>
        <w:outlineLvl w:val="2"/>
        <w:rPr>
          <w:rFonts w:hint="eastAsia" w:ascii="宋体" w:hAnsi="宋体"/>
          <w:b/>
          <w:bCs/>
          <w:color w:val="auto"/>
          <w:sz w:val="28"/>
          <w:szCs w:val="28"/>
          <w:highlight w:val="none"/>
          <w:lang w:val="en-US" w:eastAsia="zh-CN"/>
        </w:rPr>
      </w:pPr>
      <w:r>
        <w:rPr>
          <w:rFonts w:hint="eastAsia" w:ascii="宋体" w:hAnsi="宋体"/>
          <w:b/>
          <w:bCs/>
          <w:color w:val="auto"/>
          <w:sz w:val="28"/>
          <w:szCs w:val="28"/>
          <w:highlight w:val="none"/>
          <w:lang w:val="en-US" w:eastAsia="zh-CN"/>
        </w:rPr>
        <w:t>（二）服务要求</w:t>
      </w:r>
    </w:p>
    <w:p w14:paraId="1F7AA42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为保证与投保人</w:t>
      </w:r>
      <w:r>
        <w:rPr>
          <w:rFonts w:ascii="宋体" w:hAnsi="宋体" w:cs="宋体"/>
          <w:color w:val="auto"/>
          <w:sz w:val="24"/>
          <w:szCs w:val="24"/>
          <w:highlight w:val="none"/>
        </w:rPr>
        <w:t>/</w:t>
      </w:r>
      <w:r>
        <w:rPr>
          <w:rFonts w:hint="eastAsia" w:ascii="宋体" w:hAnsi="宋体" w:cs="宋体"/>
          <w:color w:val="auto"/>
          <w:sz w:val="24"/>
          <w:szCs w:val="24"/>
          <w:highlight w:val="none"/>
        </w:rPr>
        <w:t>被保险人建立良好的保险合作关系，承保保险公司应切实履行以下服务，并组织实施。</w:t>
      </w:r>
    </w:p>
    <w:p w14:paraId="02249F6B">
      <w:pPr>
        <w:keepNext w:val="0"/>
        <w:keepLines w:val="0"/>
        <w:pageBreakBefore w:val="0"/>
        <w:widowControl w:val="0"/>
        <w:tabs>
          <w:tab w:val="left" w:pos="600"/>
          <w:tab w:val="left" w:pos="1080"/>
        </w:tabs>
        <w:kinsoku/>
        <w:wordWrap w:val="0"/>
        <w:overflowPunct/>
        <w:topLinePunct w:val="0"/>
        <w:autoSpaceDE/>
        <w:autoSpaceDN/>
        <w:bidi w:val="0"/>
        <w:adjustRightInd/>
        <w:snapToGrid/>
        <w:spacing w:line="360" w:lineRule="auto"/>
        <w:ind w:firstLine="482" w:firstLineChars="200"/>
        <w:jc w:val="left"/>
        <w:textAlignment w:val="auto"/>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1、</w:t>
      </w:r>
      <w:r>
        <w:rPr>
          <w:rFonts w:hint="eastAsia" w:ascii="宋体" w:hAnsi="宋体" w:cs="宋体"/>
          <w:b/>
          <w:bCs/>
          <w:color w:val="auto"/>
          <w:sz w:val="24"/>
          <w:szCs w:val="24"/>
          <w:highlight w:val="none"/>
        </w:rPr>
        <w:t>成立专项服务小组</w:t>
      </w:r>
    </w:p>
    <w:p w14:paraId="6646881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项目专项服务小组应按照以下方式组成：</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5996"/>
        <w:gridCol w:w="1339"/>
        <w:gridCol w:w="1030"/>
      </w:tblGrid>
      <w:tr w14:paraId="380B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93" w:type="dxa"/>
            <w:vAlign w:val="center"/>
          </w:tcPr>
          <w:p w14:paraId="5F6D692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5996" w:type="dxa"/>
            <w:vAlign w:val="center"/>
          </w:tcPr>
          <w:p w14:paraId="0C462C4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1339" w:type="dxa"/>
            <w:vAlign w:val="center"/>
          </w:tcPr>
          <w:p w14:paraId="057FA2C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办公电话</w:t>
            </w:r>
          </w:p>
        </w:tc>
        <w:tc>
          <w:tcPr>
            <w:tcW w:w="1030" w:type="dxa"/>
            <w:vAlign w:val="center"/>
          </w:tcPr>
          <w:p w14:paraId="17D50C2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手机</w:t>
            </w:r>
          </w:p>
        </w:tc>
      </w:tr>
      <w:tr w14:paraId="13E2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93" w:type="dxa"/>
            <w:vAlign w:val="center"/>
          </w:tcPr>
          <w:p w14:paraId="7D3A9FE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5996" w:type="dxa"/>
            <w:vAlign w:val="center"/>
          </w:tcPr>
          <w:p w14:paraId="45F79356">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应为专项服务小组领导人员</w:t>
            </w:r>
          </w:p>
        </w:tc>
        <w:tc>
          <w:tcPr>
            <w:tcW w:w="1339" w:type="dxa"/>
            <w:vAlign w:val="center"/>
          </w:tcPr>
          <w:p w14:paraId="5C9BAB2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030" w:type="dxa"/>
            <w:vAlign w:val="center"/>
          </w:tcPr>
          <w:p w14:paraId="38E5CC7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165D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893" w:type="dxa"/>
            <w:vAlign w:val="center"/>
          </w:tcPr>
          <w:p w14:paraId="7130CDA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5996" w:type="dxa"/>
            <w:vAlign w:val="center"/>
          </w:tcPr>
          <w:p w14:paraId="557EB547">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应为专项服务小组专项客服人员</w:t>
            </w:r>
          </w:p>
          <w:p w14:paraId="67D567E7">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（至少1名，负责日常服务、参加评鉴会等）</w:t>
            </w:r>
          </w:p>
        </w:tc>
        <w:tc>
          <w:tcPr>
            <w:tcW w:w="1339" w:type="dxa"/>
            <w:vAlign w:val="center"/>
          </w:tcPr>
          <w:p w14:paraId="1AC266A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030" w:type="dxa"/>
            <w:vAlign w:val="center"/>
          </w:tcPr>
          <w:p w14:paraId="7D9AE0F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51D7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93" w:type="dxa"/>
            <w:vAlign w:val="center"/>
          </w:tcPr>
          <w:p w14:paraId="5AFB1AD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5996" w:type="dxa"/>
            <w:vAlign w:val="center"/>
          </w:tcPr>
          <w:p w14:paraId="3388F30A">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现场服务人员（负责勘查等工作）</w:t>
            </w:r>
          </w:p>
        </w:tc>
        <w:tc>
          <w:tcPr>
            <w:tcW w:w="1339" w:type="dxa"/>
            <w:vAlign w:val="center"/>
          </w:tcPr>
          <w:p w14:paraId="6BF3C9D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030" w:type="dxa"/>
            <w:vAlign w:val="center"/>
          </w:tcPr>
          <w:p w14:paraId="591B951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35B7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93" w:type="dxa"/>
            <w:vAlign w:val="center"/>
          </w:tcPr>
          <w:p w14:paraId="1478D81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5996" w:type="dxa"/>
            <w:vAlign w:val="center"/>
          </w:tcPr>
          <w:p w14:paraId="5C220577">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339" w:type="dxa"/>
            <w:vAlign w:val="center"/>
          </w:tcPr>
          <w:p w14:paraId="701C9C9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030" w:type="dxa"/>
            <w:vAlign w:val="center"/>
          </w:tcPr>
          <w:p w14:paraId="38AA770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bl>
    <w:p w14:paraId="1F7B1081">
      <w:pPr>
        <w:keepNext w:val="0"/>
        <w:keepLines w:val="0"/>
        <w:pageBreakBefore w:val="0"/>
        <w:widowControl w:val="0"/>
        <w:tabs>
          <w:tab w:val="left" w:pos="420"/>
          <w:tab w:val="left" w:pos="510"/>
        </w:tabs>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协助被保险人建立医疗执业风险管理及防范制度</w:t>
      </w:r>
    </w:p>
    <w:p w14:paraId="1BCF95B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医疗执业风险管理及防范制度</w:t>
      </w:r>
    </w:p>
    <w:p w14:paraId="4D40111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承保人应配合</w:t>
      </w:r>
      <w:r>
        <w:rPr>
          <w:rFonts w:hint="eastAsia" w:ascii="宋体" w:hAnsi="宋体" w:eastAsia="宋体" w:cs="宋体"/>
          <w:color w:val="auto"/>
          <w:sz w:val="24"/>
          <w:szCs w:val="24"/>
          <w:highlight w:val="none"/>
          <w:lang w:eastAsia="zh-CN"/>
        </w:rPr>
        <w:t>广东省</w:t>
      </w:r>
      <w:r>
        <w:rPr>
          <w:rFonts w:hint="eastAsia" w:ascii="宋体" w:hAnsi="宋体" w:eastAsia="宋体" w:cs="宋体"/>
          <w:color w:val="auto"/>
          <w:sz w:val="24"/>
          <w:szCs w:val="24"/>
          <w:highlight w:val="none"/>
        </w:rPr>
        <w:t>医疗责任保险机制，对被保险人进行必要的风险防范服务，不定期和被保险人与保险经纪人举办研讨活动，共同探讨、总结保险及风险管理方面的经验，在保险期内，配合保险经纪人针对被保险人的风险情况，提出有针对性的防灾防损建议。承保保险公司需建立</w:t>
      </w:r>
      <w:r>
        <w:rPr>
          <w:rFonts w:hint="eastAsia" w:ascii="宋体" w:hAnsi="宋体" w:eastAsia="宋体" w:cs="宋体"/>
          <w:color w:val="auto"/>
          <w:sz w:val="24"/>
          <w:szCs w:val="24"/>
          <w:highlight w:val="none"/>
          <w:lang w:eastAsia="zh-CN"/>
        </w:rPr>
        <w:t>医疗责任保险</w:t>
      </w:r>
      <w:r>
        <w:rPr>
          <w:rFonts w:hint="eastAsia" w:ascii="宋体" w:hAnsi="宋体" w:eastAsia="宋体" w:cs="宋体"/>
          <w:color w:val="auto"/>
          <w:sz w:val="24"/>
          <w:szCs w:val="24"/>
          <w:highlight w:val="none"/>
        </w:rPr>
        <w:t>防灾防损基金，定向用于被保险人的防灾防损工作的组织和实施。防灾防损基金由承保人提取，在财政部规定使用范围内由保险经纪股份有限公司统一组织用于为被保险人进行防灾防损的工作。若被保险人当年未使用或仅使用了部分防灾防损基金，则未使用部分的基金可累积使用。</w:t>
      </w:r>
    </w:p>
    <w:p w14:paraId="5BA4626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培训制度</w:t>
      </w:r>
    </w:p>
    <w:p w14:paraId="24E9A66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合同有效期内，承保人应协助保险经纪人为投保人/被保险人集中举办保险和风险防范培训，以提高投保人/被保险人相关人员的保险与风险管理知识。培训计划由保险经纪股份有限公司、承保保险公司共同协商确定。</w:t>
      </w:r>
    </w:p>
    <w:p w14:paraId="52C45875">
      <w:pPr>
        <w:keepNext w:val="0"/>
        <w:keepLines w:val="0"/>
        <w:pageBreakBefore w:val="0"/>
        <w:widowControl w:val="0"/>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承保与出单</w:t>
      </w:r>
    </w:p>
    <w:p w14:paraId="5B8AA2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保险公司应配备客户服务专员及相应设备，协助保险经纪公司为投保人办理承保出单手续。</w:t>
      </w:r>
    </w:p>
    <w:p w14:paraId="6E25C28D">
      <w:pPr>
        <w:keepNext w:val="0"/>
        <w:keepLines w:val="0"/>
        <w:pageBreakBefore w:val="0"/>
        <w:widowControl w:val="0"/>
        <w:tabs>
          <w:tab w:val="left" w:pos="425"/>
          <w:tab w:val="left" w:pos="992"/>
        </w:tabs>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理赔时效</w:t>
      </w:r>
    </w:p>
    <w:p w14:paraId="3FA2E27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快速理赔</w:t>
      </w:r>
    </w:p>
    <w:p w14:paraId="732F0FD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保险人特设案件分派系统，并匹配理赔专家，以最高效简洁的流程服务于被保险人。具体表现如下：</w:t>
      </w:r>
    </w:p>
    <w:p w14:paraId="37D4F4D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发生保险责任范围内事故后，对事实清楚，法律责任明确，属于保险责任事故的医患纠纷案件，自保险人完成核赔，且与被保险人达成一致起，按下列理赔时效承诺：</w:t>
      </w:r>
    </w:p>
    <w:tbl>
      <w:tblPr>
        <w:tblStyle w:val="25"/>
        <w:tblW w:w="501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69"/>
        <w:gridCol w:w="5822"/>
        <w:gridCol w:w="3198"/>
      </w:tblGrid>
      <w:tr w14:paraId="07C4D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93" w:type="pct"/>
            <w:noWrap w:val="0"/>
            <w:vAlign w:val="top"/>
          </w:tcPr>
          <w:p w14:paraId="1AF6915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bookmarkStart w:id="52" w:name="_Toc145306136"/>
            <w:bookmarkStart w:id="53" w:name="_Toc145839324"/>
            <w:bookmarkStart w:id="54" w:name="_Toc148320322"/>
            <w:r>
              <w:rPr>
                <w:rFonts w:hint="eastAsia" w:ascii="宋体" w:hAnsi="宋体" w:eastAsia="宋体" w:cs="Times New Roman"/>
                <w:color w:val="auto"/>
                <w:sz w:val="24"/>
                <w:szCs w:val="24"/>
                <w:highlight w:val="none"/>
              </w:rPr>
              <w:t>序号</w:t>
            </w:r>
          </w:p>
        </w:tc>
        <w:tc>
          <w:tcPr>
            <w:tcW w:w="2973" w:type="pct"/>
            <w:noWrap w:val="0"/>
            <w:vAlign w:val="top"/>
          </w:tcPr>
          <w:p w14:paraId="20A36E0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赔案金额（人民币）</w:t>
            </w:r>
          </w:p>
        </w:tc>
        <w:tc>
          <w:tcPr>
            <w:tcW w:w="1633" w:type="pct"/>
            <w:noWrap w:val="0"/>
            <w:vAlign w:val="top"/>
          </w:tcPr>
          <w:p w14:paraId="69A877B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作出赔付的时间</w:t>
            </w:r>
          </w:p>
        </w:tc>
      </w:tr>
      <w:tr w14:paraId="40C10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93" w:type="pct"/>
            <w:noWrap w:val="0"/>
            <w:vAlign w:val="top"/>
          </w:tcPr>
          <w:p w14:paraId="6B1BB35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p>
        </w:tc>
        <w:tc>
          <w:tcPr>
            <w:tcW w:w="2973" w:type="pct"/>
            <w:noWrap w:val="0"/>
            <w:vAlign w:val="top"/>
          </w:tcPr>
          <w:p w14:paraId="582D9FF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1万元以下（含1万元）</w:t>
            </w:r>
          </w:p>
        </w:tc>
        <w:tc>
          <w:tcPr>
            <w:tcW w:w="1633" w:type="pct"/>
            <w:noWrap w:val="0"/>
            <w:vAlign w:val="top"/>
          </w:tcPr>
          <w:p w14:paraId="535E1F0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rPr>
              <w:t>个工作日内</w:t>
            </w:r>
          </w:p>
        </w:tc>
      </w:tr>
      <w:tr w14:paraId="1C60C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93" w:type="pct"/>
            <w:noWrap w:val="0"/>
            <w:vAlign w:val="top"/>
          </w:tcPr>
          <w:p w14:paraId="141BE4D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p>
        </w:tc>
        <w:tc>
          <w:tcPr>
            <w:tcW w:w="2973" w:type="pct"/>
            <w:noWrap w:val="0"/>
            <w:vAlign w:val="top"/>
          </w:tcPr>
          <w:p w14:paraId="423F061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1—5万元（不含1万元，含5万元）</w:t>
            </w:r>
          </w:p>
        </w:tc>
        <w:tc>
          <w:tcPr>
            <w:tcW w:w="1633" w:type="pct"/>
            <w:noWrap w:val="0"/>
            <w:vAlign w:val="top"/>
          </w:tcPr>
          <w:p w14:paraId="1A73A15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个工作日内</w:t>
            </w:r>
          </w:p>
        </w:tc>
      </w:tr>
      <w:tr w14:paraId="24833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93" w:type="pct"/>
            <w:noWrap w:val="0"/>
            <w:vAlign w:val="top"/>
          </w:tcPr>
          <w:p w14:paraId="19BB369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p>
        </w:tc>
        <w:tc>
          <w:tcPr>
            <w:tcW w:w="2973" w:type="pct"/>
            <w:noWrap w:val="0"/>
            <w:vAlign w:val="top"/>
          </w:tcPr>
          <w:p w14:paraId="259DF0D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5—20万元（不含5万元，含20万元）</w:t>
            </w:r>
          </w:p>
        </w:tc>
        <w:tc>
          <w:tcPr>
            <w:tcW w:w="1633" w:type="pct"/>
            <w:noWrap w:val="0"/>
            <w:vAlign w:val="top"/>
          </w:tcPr>
          <w:p w14:paraId="025AF7B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rPr>
              <w:t>个工作日内</w:t>
            </w:r>
          </w:p>
        </w:tc>
      </w:tr>
      <w:tr w14:paraId="0F75A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393" w:type="pct"/>
            <w:noWrap w:val="0"/>
            <w:vAlign w:val="top"/>
          </w:tcPr>
          <w:p w14:paraId="044C26B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val="en-US" w:eastAsia="zh-CN"/>
              </w:rPr>
              <w:t>4</w:t>
            </w:r>
          </w:p>
        </w:tc>
        <w:tc>
          <w:tcPr>
            <w:tcW w:w="2973" w:type="pct"/>
            <w:noWrap w:val="0"/>
            <w:vAlign w:val="top"/>
          </w:tcPr>
          <w:p w14:paraId="427E350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0万元以上（不含</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0万元）</w:t>
            </w:r>
          </w:p>
        </w:tc>
        <w:tc>
          <w:tcPr>
            <w:tcW w:w="1633" w:type="pct"/>
            <w:noWrap w:val="0"/>
            <w:vAlign w:val="top"/>
          </w:tcPr>
          <w:p w14:paraId="70AF4EB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个工作日内</w:t>
            </w:r>
          </w:p>
        </w:tc>
      </w:tr>
    </w:tbl>
    <w:p w14:paraId="4304143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核损核赔时</w:t>
      </w:r>
      <w:bookmarkEnd w:id="52"/>
      <w:bookmarkEnd w:id="53"/>
      <w:bookmarkEnd w:id="54"/>
      <w:r>
        <w:rPr>
          <w:rFonts w:hint="eastAsia" w:ascii="宋体" w:hAnsi="宋体" w:eastAsia="宋体" w:cs="宋体"/>
          <w:color w:val="auto"/>
          <w:sz w:val="24"/>
          <w:szCs w:val="24"/>
          <w:highlight w:val="none"/>
        </w:rPr>
        <w:t>效制</w:t>
      </w:r>
    </w:p>
    <w:p w14:paraId="2B4696D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人在进行现场查勘后，就初步核损金额，在收到被保险人提交的完整索赔资料，经医调委评鉴或合议程序处理的，收到合议决定、调解协议书副本和相关材料后，在下述规定时间内作出理赔决定，以便快速理赔。</w:t>
      </w:r>
    </w:p>
    <w:tbl>
      <w:tblPr>
        <w:tblStyle w:val="25"/>
        <w:tblW w:w="502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75"/>
        <w:gridCol w:w="5434"/>
        <w:gridCol w:w="3596"/>
      </w:tblGrid>
      <w:tr w14:paraId="13F7E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395" w:type="pct"/>
            <w:noWrap w:val="0"/>
            <w:vAlign w:val="center"/>
          </w:tcPr>
          <w:p w14:paraId="5118F2F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序号</w:t>
            </w:r>
          </w:p>
        </w:tc>
        <w:tc>
          <w:tcPr>
            <w:tcW w:w="2770" w:type="pct"/>
            <w:noWrap w:val="0"/>
            <w:vAlign w:val="center"/>
          </w:tcPr>
          <w:p w14:paraId="07BB083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索赔金额（人民币）</w:t>
            </w:r>
          </w:p>
        </w:tc>
        <w:tc>
          <w:tcPr>
            <w:tcW w:w="1833" w:type="pct"/>
            <w:noWrap w:val="0"/>
            <w:vAlign w:val="center"/>
          </w:tcPr>
          <w:p w14:paraId="5EB0364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应向采购人提出异议（如有）</w:t>
            </w:r>
          </w:p>
          <w:p w14:paraId="2CFB06A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或作出理赔决定的时间</w:t>
            </w:r>
          </w:p>
        </w:tc>
      </w:tr>
      <w:tr w14:paraId="63641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395" w:type="pct"/>
            <w:noWrap w:val="0"/>
            <w:vAlign w:val="center"/>
          </w:tcPr>
          <w:p w14:paraId="5BE37EA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w:t>
            </w:r>
          </w:p>
        </w:tc>
        <w:tc>
          <w:tcPr>
            <w:tcW w:w="2770" w:type="pct"/>
            <w:noWrap w:val="0"/>
            <w:vAlign w:val="center"/>
          </w:tcPr>
          <w:p w14:paraId="1CC3429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人民币5万元以下（含5万元）</w:t>
            </w:r>
          </w:p>
        </w:tc>
        <w:tc>
          <w:tcPr>
            <w:tcW w:w="1833" w:type="pct"/>
            <w:noWrap w:val="0"/>
            <w:vAlign w:val="center"/>
          </w:tcPr>
          <w:p w14:paraId="0BC83A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在5个工作日内</w:t>
            </w:r>
          </w:p>
        </w:tc>
      </w:tr>
      <w:tr w14:paraId="2E170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395" w:type="pct"/>
            <w:noWrap w:val="0"/>
            <w:vAlign w:val="center"/>
          </w:tcPr>
          <w:p w14:paraId="5295471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p>
        </w:tc>
        <w:tc>
          <w:tcPr>
            <w:tcW w:w="2770" w:type="pct"/>
            <w:noWrap w:val="0"/>
            <w:vAlign w:val="center"/>
          </w:tcPr>
          <w:p w14:paraId="3000784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人民币5—30万元（不含5万元，含30万元）</w:t>
            </w:r>
          </w:p>
        </w:tc>
        <w:tc>
          <w:tcPr>
            <w:tcW w:w="1833" w:type="pct"/>
            <w:noWrap w:val="0"/>
            <w:vAlign w:val="center"/>
          </w:tcPr>
          <w:p w14:paraId="03D5AD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在7个工作日内</w:t>
            </w:r>
          </w:p>
        </w:tc>
      </w:tr>
      <w:tr w14:paraId="3399F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395" w:type="pct"/>
            <w:noWrap w:val="0"/>
            <w:vAlign w:val="center"/>
          </w:tcPr>
          <w:p w14:paraId="3EF4FE8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w:t>
            </w:r>
          </w:p>
        </w:tc>
        <w:tc>
          <w:tcPr>
            <w:tcW w:w="2770" w:type="pct"/>
            <w:noWrap w:val="0"/>
            <w:vAlign w:val="center"/>
          </w:tcPr>
          <w:p w14:paraId="02EF64C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30万元以上（不含</w:t>
            </w:r>
            <w:r>
              <w:rPr>
                <w:rFonts w:hint="eastAsia" w:ascii="宋体" w:hAnsi="宋体" w:eastAsia="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rPr>
              <w:t>0万元）</w:t>
            </w:r>
          </w:p>
        </w:tc>
        <w:tc>
          <w:tcPr>
            <w:tcW w:w="1833" w:type="pct"/>
            <w:noWrap w:val="0"/>
            <w:vAlign w:val="center"/>
          </w:tcPr>
          <w:p w14:paraId="4341146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在10个工作日内</w:t>
            </w:r>
          </w:p>
        </w:tc>
      </w:tr>
    </w:tbl>
    <w:p w14:paraId="6A090DEC">
      <w:pPr>
        <w:keepNext w:val="0"/>
        <w:keepLines w:val="0"/>
        <w:pageBreakBefore w:val="0"/>
        <w:widowControl w:val="0"/>
        <w:tabs>
          <w:tab w:val="left" w:pos="425"/>
          <w:tab w:val="left" w:pos="992"/>
        </w:tabs>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5、保险理赔主要单证说明</w:t>
      </w:r>
    </w:p>
    <w:p w14:paraId="2EC9EB3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承保人应本着高效解决医疗纠纷、优化理赔流程的原则，办理理赔事宜。具体理赔单证的提供以《保险索赔、理赔处理程序预案》的约定为准。</w:t>
      </w:r>
    </w:p>
    <w:p w14:paraId="3D15837E">
      <w:pPr>
        <w:keepNext w:val="0"/>
        <w:keepLines w:val="0"/>
        <w:pageBreakBefore w:val="0"/>
        <w:widowControl w:val="0"/>
        <w:tabs>
          <w:tab w:val="left" w:pos="425"/>
          <w:tab w:val="left" w:pos="992"/>
        </w:tabs>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color w:val="auto"/>
          <w:sz w:val="24"/>
          <w:szCs w:val="24"/>
          <w:highlight w:val="none"/>
        </w:rPr>
        <w:t>为推动建立医疗纠纷人民调解工作保障机制，全面推进人民调解和医疗责任保险有效衔接的工作模式，承保人需具备与人民调解机构理赔衔接的履约能力。</w:t>
      </w:r>
    </w:p>
    <w:p w14:paraId="6B42FC75">
      <w:pPr>
        <w:pStyle w:val="4"/>
        <w:keepNext w:val="0"/>
        <w:keepLines w:val="0"/>
        <w:pageBreakBefore w:val="0"/>
        <w:widowControl w:val="0"/>
        <w:numPr>
          <w:ilvl w:val="0"/>
          <w:numId w:val="0"/>
        </w:numPr>
        <w:kinsoku/>
        <w:wordWrap w:val="0"/>
        <w:overflowPunct/>
        <w:topLinePunct w:val="0"/>
        <w:autoSpaceDE/>
        <w:autoSpaceDN/>
        <w:bidi w:val="0"/>
        <w:adjustRightInd w:val="0"/>
        <w:snapToGrid/>
        <w:spacing w:before="0" w:after="0" w:line="360" w:lineRule="auto"/>
        <w:ind w:firstLine="562" w:firstLineChars="200"/>
        <w:jc w:val="left"/>
        <w:textAlignment w:val="auto"/>
        <w:outlineLvl w:val="2"/>
        <w:rPr>
          <w:rFonts w:hint="eastAsia" w:ascii="宋体" w:hAnsi="宋体"/>
          <w:b/>
          <w:bCs/>
          <w:color w:val="auto"/>
          <w:sz w:val="28"/>
          <w:szCs w:val="28"/>
          <w:highlight w:val="none"/>
          <w:lang w:val="en-US" w:eastAsia="zh-CN"/>
        </w:rPr>
      </w:pPr>
      <w:r>
        <w:rPr>
          <w:rFonts w:hint="eastAsia" w:ascii="宋体" w:hAnsi="宋体"/>
          <w:b/>
          <w:bCs/>
          <w:color w:val="auto"/>
          <w:sz w:val="28"/>
          <w:szCs w:val="28"/>
          <w:highlight w:val="none"/>
          <w:lang w:val="en-US" w:eastAsia="zh-CN"/>
        </w:rPr>
        <w:t>（三）其他要求</w:t>
      </w:r>
    </w:p>
    <w:p w14:paraId="65B57B6B">
      <w:pPr>
        <w:pStyle w:val="9"/>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cs="宋体"/>
          <w:b w:val="0"/>
          <w:bCs w:val="0"/>
          <w:color w:val="auto"/>
          <w:kern w:val="0"/>
          <w:highlight w:val="none"/>
        </w:rPr>
      </w:pPr>
      <w:bookmarkStart w:id="55" w:name="OLE_LINK2"/>
      <w:r>
        <w:rPr>
          <w:rFonts w:hint="eastAsia" w:ascii="宋体" w:cs="宋体"/>
          <w:b w:val="0"/>
          <w:bCs w:val="0"/>
          <w:color w:val="auto"/>
          <w:kern w:val="0"/>
          <w:highlight w:val="none"/>
        </w:rPr>
        <w:t>1、根据粤卫办函【2011】129号文件，广东省承担医疗责任保险的保险经纪人为江泰保险经纪股份有限公司，采购人聘请江泰保险经纪股份有限公司广东营业部为保险经纪人，为采购人及各被保险人医疗责任保险项目提供保险经纪服务。供应商尊重江泰保险经纪股份有限公司广东营业部代表采购人所提涉保要求，尊重其所发挥的督促、协调作用，并认为保险经纪人能为保险双方的顺利合作起到应有的积极作用；</w:t>
      </w:r>
      <w:bookmarkEnd w:id="55"/>
    </w:p>
    <w:p w14:paraId="377547AC">
      <w:pPr>
        <w:pStyle w:val="9"/>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cs="宋体"/>
          <w:b w:val="0"/>
          <w:bCs w:val="0"/>
          <w:color w:val="auto"/>
          <w:kern w:val="0"/>
          <w:highlight w:val="none"/>
        </w:rPr>
      </w:pPr>
      <w:r>
        <w:rPr>
          <w:rFonts w:hint="eastAsia" w:ascii="宋体" w:cs="宋体"/>
          <w:b w:val="0"/>
          <w:bCs w:val="0"/>
          <w:color w:val="auto"/>
          <w:kern w:val="0"/>
          <w:highlight w:val="none"/>
          <w:lang w:val="en-US" w:eastAsia="zh-CN"/>
        </w:rPr>
        <w:t>2</w:t>
      </w:r>
      <w:r>
        <w:rPr>
          <w:rFonts w:hint="eastAsia" w:ascii="宋体" w:cs="宋体"/>
          <w:b w:val="0"/>
          <w:bCs w:val="0"/>
          <w:color w:val="auto"/>
          <w:kern w:val="0"/>
          <w:highlight w:val="none"/>
        </w:rPr>
        <w:t>、本项目接受中标单位按照中国保险监督管理委员会《关于加强财产保险共保业务管理的通知》要求安排共保及再保，但中标单位必须作为主承保人负责承保、理赔服务，不得将承保、理赔服务分配其他参与共保公司服务。</w:t>
      </w:r>
    </w:p>
    <w:p w14:paraId="5888F40D">
      <w:pPr>
        <w:pStyle w:val="9"/>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32"/>
          <w:szCs w:val="32"/>
          <w:highlight w:val="none"/>
          <w:lang w:val="en-US" w:eastAsia="zh-CN"/>
        </w:rPr>
      </w:pPr>
      <w:bookmarkStart w:id="56" w:name="OLE_LINK5"/>
      <w:r>
        <w:rPr>
          <w:rFonts w:hint="eastAsia" w:ascii="宋体" w:cs="宋体"/>
          <w:b/>
          <w:bCs/>
          <w:color w:val="auto"/>
          <w:kern w:val="0"/>
          <w:highlight w:val="none"/>
          <w:lang w:val="en-US" w:eastAsia="zh-CN"/>
        </w:rPr>
        <w:t>3、</w:t>
      </w:r>
      <w:bookmarkStart w:id="57" w:name="OLE_LINK4"/>
      <w:r>
        <w:rPr>
          <w:rFonts w:hint="eastAsia" w:ascii="宋体" w:cs="宋体"/>
          <w:b/>
          <w:bCs/>
          <w:color w:val="auto"/>
          <w:kern w:val="0"/>
          <w:highlight w:val="none"/>
          <w:lang w:val="en-US" w:eastAsia="zh-CN"/>
        </w:rPr>
        <w:t>依据《财政部关于推进和完善服务项目政府采购有关问题的通知》财库〔2014〕37 号和《政府购买服务管理办法》财政部令第102号的相关规定：“对于购买内容相对固定、连续性强、经费来源稳定、价格变化幅度小的政府购买服务项目，可以签订履行期限不超过3年”，本项目为长期服务项目，合同期满可以续签，最多续签2次（累计合作期限最长不超过三年）。每个年度合同期限届满前30日内，采购人可以对供应商履约进行履约考核，考核合格后可以续签下一年合同。</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Start w:id="58" w:name="_Toc324192725"/>
      <w:bookmarkStart w:id="59" w:name="_Toc2061"/>
      <w:r>
        <w:rPr>
          <w:rFonts w:hint="eastAsia" w:ascii="宋体" w:hAnsi="宋体" w:eastAsia="宋体" w:cs="Times New Roman"/>
          <w:b/>
          <w:bCs/>
        </w:rPr>
        <w:t>如</w:t>
      </w:r>
      <w:r>
        <w:rPr>
          <w:rFonts w:hint="eastAsia" w:ascii="宋体" w:hAnsi="宋体" w:eastAsia="宋体" w:cs="Times New Roman"/>
          <w:b/>
          <w:bCs/>
          <w:lang w:val="en-US" w:eastAsia="zh-CN"/>
        </w:rPr>
        <w:t>采购人</w:t>
      </w:r>
      <w:r>
        <w:rPr>
          <w:rFonts w:hint="eastAsia" w:ascii="宋体" w:hAnsi="宋体" w:eastAsia="宋体" w:cs="Times New Roman"/>
          <w:b/>
          <w:bCs/>
        </w:rPr>
        <w:t>对履约情况不满意，</w:t>
      </w:r>
      <w:r>
        <w:rPr>
          <w:rFonts w:hint="eastAsia" w:ascii="宋体" w:hAnsi="宋体" w:eastAsia="宋体" w:cs="Times New Roman"/>
          <w:b/>
          <w:bCs/>
          <w:lang w:val="en-US" w:eastAsia="zh-CN"/>
        </w:rPr>
        <w:t>采购人</w:t>
      </w:r>
      <w:r>
        <w:rPr>
          <w:rFonts w:hint="eastAsia" w:ascii="宋体" w:hAnsi="宋体" w:eastAsia="宋体" w:cs="Times New Roman"/>
          <w:b/>
          <w:bCs/>
        </w:rPr>
        <w:t>不再续约</w:t>
      </w:r>
      <w:bookmarkStart w:id="60" w:name="OLE_LINK3"/>
      <w:r>
        <w:rPr>
          <w:rFonts w:hint="eastAsia" w:ascii="宋体" w:hAnsi="宋体" w:eastAsia="宋体" w:cs="Times New Roman"/>
          <w:b/>
          <w:bCs/>
          <w:lang w:eastAsia="zh-CN"/>
        </w:rPr>
        <w:t>。</w:t>
      </w:r>
      <w:bookmarkEnd w:id="57"/>
    </w:p>
    <w:bookmarkEnd w:id="56"/>
    <w:p w14:paraId="2C1D2A51">
      <w:pPr>
        <w:keepNext w:val="0"/>
        <w:keepLines w:val="0"/>
        <w:pageBreakBefore w:val="0"/>
        <w:widowControl w:val="0"/>
        <w:kinsoku/>
        <w:wordWrap w:val="0"/>
        <w:overflowPunct/>
        <w:topLinePunct w:val="0"/>
        <w:autoSpaceDE/>
        <w:autoSpaceDN/>
        <w:bidi w:val="0"/>
        <w:adjustRightInd w:val="0"/>
        <w:snapToGrid/>
        <w:spacing w:line="480" w:lineRule="auto"/>
        <w:jc w:val="left"/>
        <w:textAlignment w:val="auto"/>
        <w:outlineLvl w:val="1"/>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附件一：保险索赔、理赔处理程序预案</w:t>
      </w:r>
      <w:bookmarkEnd w:id="58"/>
      <w:bookmarkEnd w:id="59"/>
    </w:p>
    <w:p w14:paraId="600CF077">
      <w:pPr>
        <w:pStyle w:val="50"/>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Chars="0" w:firstLine="482" w:firstLineChars="200"/>
        <w:textAlignment w:val="auto"/>
        <w:rPr>
          <w:rFonts w:ascii="宋体" w:hAnsi="宋体"/>
          <w:b/>
          <w:color w:val="auto"/>
          <w:sz w:val="24"/>
          <w:szCs w:val="24"/>
          <w:highlight w:val="none"/>
        </w:rPr>
      </w:pPr>
      <w:bookmarkStart w:id="61" w:name="_Toc324192726"/>
      <w:r>
        <w:rPr>
          <w:rFonts w:hint="eastAsia" w:ascii="宋体" w:hAnsi="宋体"/>
          <w:b/>
          <w:color w:val="auto"/>
          <w:sz w:val="24"/>
          <w:szCs w:val="24"/>
          <w:highlight w:val="none"/>
          <w:lang w:val="en-US" w:eastAsia="zh-CN"/>
        </w:rPr>
        <w:t>一、</w:t>
      </w:r>
      <w:r>
        <w:rPr>
          <w:rFonts w:hint="eastAsia" w:ascii="宋体" w:hAnsi="宋体"/>
          <w:b/>
          <w:color w:val="auto"/>
          <w:sz w:val="24"/>
          <w:szCs w:val="24"/>
          <w:highlight w:val="none"/>
        </w:rPr>
        <w:t>医疗纠纷案件处理流程</w:t>
      </w:r>
    </w:p>
    <w:p w14:paraId="0223FBE5">
      <w:pPr>
        <w:pStyle w:val="50"/>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highlight w:val="none"/>
        </w:rPr>
      </w:pPr>
      <w:r>
        <w:rPr>
          <w:rFonts w:hint="eastAsia" w:ascii="宋体" w:hAnsi="宋体" w:eastAsiaTheme="minorEastAsia" w:cstheme="minorBidi"/>
          <w:b/>
          <w:color w:val="auto"/>
          <w:kern w:val="2"/>
          <w:sz w:val="24"/>
          <w:szCs w:val="24"/>
          <w:lang w:val="en-US" w:eastAsia="zh-CN" w:bidi="ar-SA"/>
        </w:rPr>
        <w:t>1、</w:t>
      </w:r>
      <w:r>
        <w:rPr>
          <w:rFonts w:hint="eastAsia" w:ascii="宋体" w:hAnsi="宋体"/>
          <w:b/>
          <w:color w:val="auto"/>
          <w:sz w:val="24"/>
          <w:szCs w:val="24"/>
          <w:highlight w:val="none"/>
        </w:rPr>
        <w:t>调解案件处理流程图</w:t>
      </w:r>
    </w:p>
    <w:p w14:paraId="24F7EFE3">
      <w:pPr>
        <w:pStyle w:val="50"/>
        <w:numPr>
          <w:ilvl w:val="0"/>
          <w:numId w:val="0"/>
        </w:numPr>
        <w:spacing w:before="280" w:beforeLines="90" w:after="280" w:afterLines="90"/>
        <w:jc w:val="center"/>
        <w:rPr>
          <w:rFonts w:hint="eastAsia" w:ascii="宋体" w:hAnsi="宋体"/>
          <w:b/>
          <w:color w:val="auto"/>
          <w:sz w:val="24"/>
          <w:szCs w:val="24"/>
          <w:highlight w:val="none"/>
        </w:rPr>
      </w:pPr>
    </w:p>
    <w:p w14:paraId="5843C193">
      <w:pPr>
        <w:pStyle w:val="50"/>
        <w:numPr>
          <w:ilvl w:val="0"/>
          <w:numId w:val="0"/>
        </w:numPr>
        <w:spacing w:before="280" w:beforeLines="90" w:after="280" w:afterLines="90"/>
        <w:jc w:val="center"/>
        <w:rPr>
          <w:rFonts w:hint="eastAsia" w:ascii="宋体" w:hAnsi="宋体"/>
          <w:b/>
          <w:color w:val="auto"/>
          <w:sz w:val="24"/>
          <w:szCs w:val="24"/>
          <w:highlight w:val="none"/>
        </w:rPr>
      </w:pPr>
      <w:r>
        <w:rPr>
          <w:sz w:val="32"/>
        </w:rPr>
        <mc:AlternateContent>
          <mc:Choice Requires="wpg">
            <w:drawing>
              <wp:inline distT="0" distB="0" distL="114300" distR="114300">
                <wp:extent cx="5011420" cy="6184900"/>
                <wp:effectExtent l="0" t="0" r="0" b="0"/>
                <wp:docPr id="200" name="组合 200"/>
                <wp:cNvGraphicFramePr/>
                <a:graphic xmlns:a="http://schemas.openxmlformats.org/drawingml/2006/main">
                  <a:graphicData uri="http://schemas.microsoft.com/office/word/2010/wordprocessingGroup">
                    <wpg:wgp>
                      <wpg:cNvGrpSpPr/>
                      <wpg:grpSpPr>
                        <a:xfrm>
                          <a:off x="0" y="0"/>
                          <a:ext cx="5011420" cy="6184900"/>
                          <a:chOff x="7252" y="106717"/>
                          <a:chExt cx="7892" cy="9740"/>
                        </a:xfrm>
                      </wpg:grpSpPr>
                      <wpg:grpSp>
                        <wpg:cNvPr id="198" name="组合 198"/>
                        <wpg:cNvGrpSpPr/>
                        <wpg:grpSpPr>
                          <a:xfrm>
                            <a:off x="7252" y="106717"/>
                            <a:ext cx="7892" cy="9740"/>
                            <a:chOff x="7252" y="106717"/>
                            <a:chExt cx="7892" cy="9740"/>
                          </a:xfrm>
                        </wpg:grpSpPr>
                        <wpg:grpSp>
                          <wpg:cNvPr id="196" name="组合 196"/>
                          <wpg:cNvGrpSpPr/>
                          <wpg:grpSpPr>
                            <a:xfrm>
                              <a:off x="7252" y="106717"/>
                              <a:ext cx="7892" cy="9740"/>
                              <a:chOff x="7364" y="106392"/>
                              <a:chExt cx="7892" cy="9740"/>
                            </a:xfrm>
                          </wpg:grpSpPr>
                          <wpg:grpSp>
                            <wpg:cNvPr id="194" name="组合 194"/>
                            <wpg:cNvGrpSpPr/>
                            <wpg:grpSpPr>
                              <a:xfrm>
                                <a:off x="7364" y="106392"/>
                                <a:ext cx="7892" cy="9740"/>
                                <a:chOff x="4395" y="106749"/>
                                <a:chExt cx="7892" cy="9740"/>
                              </a:xfrm>
                            </wpg:grpSpPr>
                            <wpg:grpSp>
                              <wpg:cNvPr id="186" name="组合 186"/>
                              <wpg:cNvGrpSpPr/>
                              <wpg:grpSpPr>
                                <a:xfrm>
                                  <a:off x="4395" y="106749"/>
                                  <a:ext cx="7892" cy="9740"/>
                                  <a:chOff x="3562" y="106974"/>
                                  <a:chExt cx="7892" cy="9740"/>
                                </a:xfrm>
                              </wpg:grpSpPr>
                              <wpg:grpSp>
                                <wpg:cNvPr id="147" name="组合 147"/>
                                <wpg:cNvGrpSpPr/>
                                <wpg:grpSpPr>
                                  <a:xfrm>
                                    <a:off x="3562" y="106974"/>
                                    <a:ext cx="7892" cy="9740"/>
                                    <a:chOff x="6272" y="106381"/>
                                    <a:chExt cx="7892" cy="9740"/>
                                  </a:xfrm>
                                </wpg:grpSpPr>
                                <wpg:grpSp>
                                  <wpg:cNvPr id="151" name="组合 34"/>
                                  <wpg:cNvGrpSpPr/>
                                  <wpg:grpSpPr>
                                    <a:xfrm>
                                      <a:off x="6272" y="106381"/>
                                      <a:ext cx="7892" cy="9740"/>
                                      <a:chOff x="-287" y="-555"/>
                                      <a:chExt cx="7892" cy="9740"/>
                                    </a:xfrm>
                                    <a:effectLst/>
                                  </wpg:grpSpPr>
                                  <wps:wsp>
                                    <wps:cNvPr id="153" name="AutoShape 3"/>
                                    <wps:cNvCnPr>
                                      <a:stCxn id="167" idx="2"/>
                                      <a:endCxn id="180" idx="0"/>
                                    </wps:cNvCnPr>
                                    <wps:spPr>
                                      <a:xfrm rot="5400000" flipV="1">
                                        <a:off x="3643" y="6331"/>
                                        <a:ext cx="416" cy="3"/>
                                      </a:xfrm>
                                      <a:prstGeom prst="bentConnector3">
                                        <a:avLst>
                                          <a:gd name="adj1" fmla="val 49880"/>
                                        </a:avLst>
                                      </a:prstGeom>
                                      <a:ln w="15875" cap="flat" cmpd="sng">
                                        <a:solidFill>
                                          <a:srgbClr val="000000"/>
                                        </a:solidFill>
                                        <a:prstDash val="solid"/>
                                        <a:miter/>
                                        <a:headEnd type="none" w="med" len="med"/>
                                        <a:tailEnd type="triangle" w="med" len="med"/>
                                      </a:ln>
                                      <a:effectLst/>
                                    </wps:spPr>
                                    <wps:bodyPr lIns="46800" tIns="46800" rIns="46800" bIns="46800" anchor="ctr" anchorCtr="0" upright="1"/>
                                  </wps:wsp>
                                  <wpg:grpSp>
                                    <wpg:cNvPr id="154" name="Group 5"/>
                                    <wpg:cNvGrpSpPr/>
                                    <wpg:grpSpPr>
                                      <a:xfrm rot="0">
                                        <a:off x="-287" y="-555"/>
                                        <a:ext cx="7892" cy="9740"/>
                                        <a:chOff x="-287" y="-555"/>
                                        <a:chExt cx="7892" cy="9740"/>
                                      </a:xfrm>
                                      <a:effectLst/>
                                    </wpg:grpSpPr>
                                    <wpg:grpSp>
                                      <wpg:cNvPr id="155" name="Group 6"/>
                                      <wpg:cNvGrpSpPr/>
                                      <wpg:grpSpPr>
                                        <a:xfrm>
                                          <a:off x="-174" y="-555"/>
                                          <a:ext cx="7599" cy="6679"/>
                                          <a:chOff x="-189" y="-555"/>
                                          <a:chExt cx="7599" cy="6679"/>
                                        </a:xfrm>
                                        <a:effectLst/>
                                      </wpg:grpSpPr>
                                      <wps:wsp>
                                        <wps:cNvPr id="156" name="AutoShape 7"/>
                                        <wps:cNvSpPr/>
                                        <wps:spPr>
                                          <a:xfrm>
                                            <a:off x="4167" y="-555"/>
                                            <a:ext cx="3243" cy="1050"/>
                                          </a:xfrm>
                                          <a:prstGeom prst="flowChartProcess">
                                            <a:avLst/>
                                          </a:prstGeom>
                                          <a:solidFill>
                                            <a:srgbClr val="FFFFFF"/>
                                          </a:solidFill>
                                          <a:ln w="12700" cap="flat" cmpd="sng">
                                            <a:solidFill>
                                              <a:srgbClr val="000000"/>
                                            </a:solidFill>
                                            <a:prstDash val="dash"/>
                                            <a:miter/>
                                            <a:headEnd type="none" w="med" len="med"/>
                                            <a:tailEnd type="none" w="med" len="med"/>
                                          </a:ln>
                                          <a:effectLst/>
                                        </wps:spPr>
                                        <wps:txbx>
                                          <w:txbxContent>
                                            <w:p w14:paraId="5BE81F56">
                                              <w:pPr>
                                                <w:keepNext w:val="0"/>
                                                <w:keepLines w:val="0"/>
                                                <w:pageBreakBefore w:val="0"/>
                                                <w:widowControl w:val="0"/>
                                                <w:kinsoku/>
                                                <w:wordWrap w:val="0"/>
                                                <w:overflowPunct/>
                                                <w:topLinePunct w:val="0"/>
                                                <w:autoSpaceDE/>
                                                <w:autoSpaceDN/>
                                                <w:bidi w:val="0"/>
                                                <w:adjustRightInd/>
                                                <w:snapToGrid/>
                                                <w:textAlignment w:val="auto"/>
                                                <w:rPr>
                                                  <w:b/>
                                                </w:rPr>
                                              </w:pPr>
                                              <w:r>
                                                <w:rPr>
                                                  <w:rFonts w:hint="eastAsia"/>
                                                  <w:b/>
                                                </w:rPr>
                                                <w:t>报案内容：就诊时间、事件发生时间、大致诊疗过程、患者最终状态、投诉事件、患者诉求等</w:t>
                                              </w:r>
                                            </w:p>
                                          </w:txbxContent>
                                        </wps:txbx>
                                        <wps:bodyPr vert="horz" lIns="46800" tIns="46800" rIns="46800" bIns="46800" anchor="ctr" anchorCtr="0" upright="1"/>
                                      </wps:wsp>
                                      <wpg:grpSp>
                                        <wpg:cNvPr id="157" name="Group 8"/>
                                        <wpg:cNvGrpSpPr/>
                                        <wpg:grpSpPr>
                                          <a:xfrm>
                                            <a:off x="-189" y="167"/>
                                            <a:ext cx="5405" cy="5957"/>
                                            <a:chOff x="-189" y="0"/>
                                            <a:chExt cx="5405" cy="5957"/>
                                          </a:xfrm>
                                          <a:effectLst/>
                                        </wpg:grpSpPr>
                                        <wps:wsp>
                                          <wps:cNvPr id="158" name="AutoShape 9"/>
                                          <wps:cNvSpPr/>
                                          <wps:spPr>
                                            <a:xfrm>
                                              <a:off x="1860" y="0"/>
                                              <a:ext cx="1417" cy="499"/>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1CEC08B0">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纠纷报案</w:t>
                                                </w:r>
                                              </w:p>
                                            </w:txbxContent>
                                          </wps:txbx>
                                          <wps:bodyPr vert="horz" lIns="46800" tIns="46800" rIns="46800" bIns="46800" anchor="ctr" anchorCtr="0" upright="1"/>
                                        </wps:wsp>
                                        <wps:wsp>
                                          <wps:cNvPr id="159" name="AutoShape 10"/>
                                          <wps:cNvSpPr/>
                                          <wps:spPr>
                                            <a:xfrm>
                                              <a:off x="587" y="2726"/>
                                              <a:ext cx="3969" cy="1477"/>
                                            </a:xfrm>
                                            <a:prstGeom prst="flowChartProcess">
                                              <a:avLst/>
                                            </a:prstGeom>
                                            <a:solidFill>
                                              <a:srgbClr val="FFFFFF"/>
                                            </a:solidFill>
                                            <a:ln w="12700" cap="flat" cmpd="sng">
                                              <a:solidFill>
                                                <a:srgbClr val="000000"/>
                                              </a:solidFill>
                                              <a:prstDash val="dash"/>
                                              <a:miter/>
                                              <a:headEnd type="none" w="med" len="med"/>
                                              <a:tailEnd type="none" w="med" len="med"/>
                                            </a:ln>
                                            <a:effectLst/>
                                          </wps:spPr>
                                          <wps:txbx>
                                            <w:txbxContent>
                                              <w:p w14:paraId="67BDC63D">
                                                <w:pPr>
                                                  <w:rPr>
                                                    <w:b/>
                                                  </w:rPr>
                                                </w:pPr>
                                                <w:r>
                                                  <w:rPr>
                                                    <w:rFonts w:hint="eastAsia"/>
                                                    <w:b/>
                                                  </w:rPr>
                                                  <w:t>专家分析：是否存在过错及过错类型？</w:t>
                                                </w:r>
                                              </w:p>
                                              <w:p w14:paraId="3BDAF3BE">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是否违反诊疗常规？</w:t>
                                                </w:r>
                                              </w:p>
                                              <w:p w14:paraId="5D766B4E">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损害金额？</w:t>
                                                </w:r>
                                              </w:p>
                                              <w:p w14:paraId="4EEC6052">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处理建议？</w:t>
                                                </w:r>
                                              </w:p>
                                            </w:txbxContent>
                                          </wps:txbx>
                                          <wps:bodyPr vert="horz" lIns="46800" tIns="46800" rIns="46800" bIns="46800" anchor="ctr" anchorCtr="0" upright="1"/>
                                        </wps:wsp>
                                        <wps:wsp>
                                          <wps:cNvPr id="160" name="AutoShape 11"/>
                                          <wps:cNvSpPr/>
                                          <wps:spPr>
                                            <a:xfrm>
                                              <a:off x="-12" y="1026"/>
                                              <a:ext cx="1922" cy="515"/>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1039EBC4">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广东和谐医调委</w:t>
                                                </w:r>
                                              </w:p>
                                            </w:txbxContent>
                                          </wps:txbx>
                                          <wps:bodyPr vert="horz" lIns="46800" tIns="46800" rIns="46800" bIns="46800" anchor="ctr" anchorCtr="0" upright="1"/>
                                        </wps:wsp>
                                        <wps:wsp>
                                          <wps:cNvPr id="161" name="AutoShape 12"/>
                                          <wps:cNvSpPr/>
                                          <wps:spPr>
                                            <a:xfrm>
                                              <a:off x="3194" y="1016"/>
                                              <a:ext cx="2022" cy="499"/>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2919F49D">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保险经纪公司</w:t>
                                                </w:r>
                                              </w:p>
                                            </w:txbxContent>
                                          </wps:txbx>
                                          <wps:bodyPr vert="horz" lIns="46800" tIns="46800" rIns="46800" bIns="46800" anchor="ctr" anchorCtr="0" upright="1"/>
                                        </wps:wsp>
                                        <wps:wsp>
                                          <wps:cNvPr id="162" name="AutoShape 13"/>
                                          <wps:cNvCnPr>
                                            <a:stCxn id="158" idx="2"/>
                                            <a:endCxn id="160" idx="0"/>
                                          </wps:cNvCnPr>
                                          <wps:spPr>
                                            <a:xfrm rot="5400000">
                                              <a:off x="1496" y="-47"/>
                                              <a:ext cx="527" cy="1620"/>
                                            </a:xfrm>
                                            <a:prstGeom prst="bentConnector3">
                                              <a:avLst>
                                                <a:gd name="adj1" fmla="val 50000"/>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63" name="AutoShape 14"/>
                                          <wps:cNvCnPr>
                                            <a:stCxn id="158" idx="2"/>
                                            <a:endCxn id="161" idx="0"/>
                                          </wps:cNvCnPr>
                                          <wps:spPr>
                                            <a:xfrm rot="5400000" flipV="1">
                                              <a:off x="3127" y="-63"/>
                                              <a:ext cx="517" cy="1641"/>
                                            </a:xfrm>
                                            <a:prstGeom prst="bentConnector3">
                                              <a:avLst>
                                                <a:gd name="adj1" fmla="val 50000"/>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65" name="AutoShape 16"/>
                                          <wps:cNvCnPr>
                                            <a:stCxn id="160" idx="2"/>
                                            <a:endCxn id="166" idx="1"/>
                                          </wps:cNvCnPr>
                                          <wps:spPr>
                                            <a:xfrm rot="5400000" flipV="1">
                                              <a:off x="1146" y="1345"/>
                                              <a:ext cx="517" cy="910"/>
                                            </a:xfrm>
                                            <a:prstGeom prst="bentConnector2">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66" name="AutoShape 17"/>
                                          <wps:cNvSpPr/>
                                          <wps:spPr>
                                            <a:xfrm>
                                              <a:off x="1859" y="1808"/>
                                              <a:ext cx="1417" cy="499"/>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7DA1293C">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调查取证</w:t>
                                                </w:r>
                                              </w:p>
                                            </w:txbxContent>
                                          </wps:txbx>
                                          <wps:bodyPr vert="horz" lIns="46800" tIns="46800" rIns="46800" bIns="46800" anchor="ctr" anchorCtr="0" upright="1"/>
                                        </wps:wsp>
                                        <wps:wsp>
                                          <wps:cNvPr id="167" name="AutoShape 18"/>
                                          <wps:cNvSpPr/>
                                          <wps:spPr>
                                            <a:xfrm>
                                              <a:off x="2927" y="5447"/>
                                              <a:ext cx="1814"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4B8DB64B">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医患双方不同意</w:t>
                                                </w:r>
                                              </w:p>
                                            </w:txbxContent>
                                          </wps:txbx>
                                          <wps:bodyPr vert="horz" lIns="46800" tIns="46800" rIns="46800" bIns="46800" anchor="ctr" anchorCtr="0" upright="1"/>
                                        </wps:wsp>
                                        <wps:wsp>
                                          <wps:cNvPr id="168" name="AutoShape 19"/>
                                          <wps:cNvSpPr/>
                                          <wps:spPr>
                                            <a:xfrm>
                                              <a:off x="-189" y="5445"/>
                                              <a:ext cx="1701"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43CC8379">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医患双方同意</w:t>
                                                </w:r>
                                              </w:p>
                                            </w:txbxContent>
                                          </wps:txbx>
                                          <wps:bodyPr vert="horz" lIns="46800" tIns="46800" rIns="46800" bIns="46800" anchor="ctr" anchorCtr="0" upright="1"/>
                                        </wps:wsp>
                                        <wps:wsp>
                                          <wps:cNvPr id="169" name="AutoShape 20"/>
                                          <wps:cNvCnPr>
                                            <a:stCxn id="171" idx="1"/>
                                            <a:endCxn id="168" idx="0"/>
                                          </wps:cNvCnPr>
                                          <wps:spPr>
                                            <a:xfrm rot="10800000" flipV="1">
                                              <a:off x="662" y="4945"/>
                                              <a:ext cx="1057" cy="500"/>
                                            </a:xfrm>
                                            <a:prstGeom prst="bentConnector2">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70" name="AutoShape 21"/>
                                          <wps:cNvCnPr>
                                            <a:stCxn id="171" idx="3"/>
                                            <a:endCxn id="167" idx="0"/>
                                          </wps:cNvCnPr>
                                          <wps:spPr>
                                            <a:xfrm>
                                              <a:off x="3420" y="4938"/>
                                              <a:ext cx="414" cy="509"/>
                                            </a:xfrm>
                                            <a:prstGeom prst="bentConnector2">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71" name="AutoShape 22"/>
                                          <wps:cNvSpPr/>
                                          <wps:spPr>
                                            <a:xfrm>
                                              <a:off x="1719" y="4683"/>
                                              <a:ext cx="1701"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72CA5574">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进入调解程序</w:t>
                                                </w:r>
                                              </w:p>
                                            </w:txbxContent>
                                          </wps:txbx>
                                          <wps:bodyPr vert="horz" lIns="46800" tIns="46800" rIns="46800" bIns="46800" anchor="ctr" anchorCtr="0" upright="1"/>
                                        </wps:wsp>
                                      </wpg:grpSp>
                                    </wpg:grpSp>
                                    <wps:wsp>
                                      <wps:cNvPr id="172" name="AutoShape 23"/>
                                      <wps:cNvSpPr/>
                                      <wps:spPr>
                                        <a:xfrm>
                                          <a:off x="-175" y="8675"/>
                                          <a:ext cx="1701"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58E48BC0">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支付给患方</w:t>
                                            </w:r>
                                          </w:p>
                                        </w:txbxContent>
                                      </wps:txbx>
                                      <wps:bodyPr vert="horz" lIns="46800" tIns="46800" rIns="46800" bIns="46800" anchor="ctr" anchorCtr="0" upright="1"/>
                                    </wps:wsp>
                                    <wps:wsp>
                                      <wps:cNvPr id="173" name="AutoShape 24"/>
                                      <wps:cNvSpPr/>
                                      <wps:spPr>
                                        <a:xfrm>
                                          <a:off x="2519" y="8675"/>
                                          <a:ext cx="1701"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3161E757">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或支付给医院</w:t>
                                            </w:r>
                                          </w:p>
                                        </w:txbxContent>
                                      </wps:txbx>
                                      <wps:bodyPr vert="horz" lIns="46800" tIns="46800" rIns="46800" bIns="46800" anchor="ctr" anchorCtr="0" upright="1"/>
                                    </wps:wsp>
                                    <wps:wsp>
                                      <wps:cNvPr id="174" name="AutoShape 25"/>
                                      <wps:cNvSpPr/>
                                      <wps:spPr>
                                        <a:xfrm>
                                          <a:off x="5621" y="5614"/>
                                          <a:ext cx="1984"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0B078CA8">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引导走诉讼</w:t>
                                            </w:r>
                                          </w:p>
                                        </w:txbxContent>
                                      </wps:txbx>
                                      <wps:bodyPr vert="horz" lIns="46800" tIns="46800" rIns="46800" bIns="46800" anchor="ctr" anchorCtr="0" upright="1"/>
                                    </wps:wsp>
                                    <wps:wsp>
                                      <wps:cNvPr id="175" name="AutoShape 26"/>
                                      <wps:cNvSpPr/>
                                      <wps:spPr>
                                        <a:xfrm>
                                          <a:off x="2885" y="7641"/>
                                          <a:ext cx="1928"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098AEF35">
                                            <w:pPr>
                                              <w:ind w:firstLine="105" w:firstLineChars="50"/>
                                              <w:jc w:val="center"/>
                                            </w:pPr>
                                            <w:r>
                                              <w:rPr>
                                                <w:rFonts w:hint="eastAsia"/>
                                              </w:rPr>
                                              <w:t>再进入调解程序</w:t>
                                            </w:r>
                                          </w:p>
                                        </w:txbxContent>
                                      </wps:txbx>
                                      <wps:bodyPr vert="horz" lIns="46800" tIns="46800" rIns="46800" bIns="46800" anchor="ctr" anchorCtr="0" upright="1"/>
                                    </wps:wsp>
                                    <wps:wsp>
                                      <wps:cNvPr id="176" name="AutoShape 27"/>
                                      <wps:cNvSpPr/>
                                      <wps:spPr>
                                        <a:xfrm>
                                          <a:off x="5619" y="7643"/>
                                          <a:ext cx="1984"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16C41A80">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医患双方不同意</w:t>
                                            </w:r>
                                          </w:p>
                                        </w:txbxContent>
                                      </wps:txbx>
                                      <wps:bodyPr vert="horz" lIns="46800" tIns="46800" rIns="46800" bIns="46800" anchor="ctr" anchorCtr="0" upright="1"/>
                                    </wps:wsp>
                                    <wps:wsp>
                                      <wps:cNvPr id="177" name="AutoShape 28"/>
                                      <wps:cNvSpPr/>
                                      <wps:spPr>
                                        <a:xfrm>
                                          <a:off x="-176" y="7635"/>
                                          <a:ext cx="1701" cy="510"/>
                                        </a:xfrm>
                                        <a:prstGeom prst="flowChartProcess">
                                          <a:avLst/>
                                        </a:prstGeom>
                                        <a:solidFill>
                                          <a:srgbClr val="FFFFFF"/>
                                        </a:solidFill>
                                        <a:ln w="12700" cap="flat" cmpd="sng">
                                          <a:solidFill>
                                            <a:srgbClr val="000000"/>
                                          </a:solidFill>
                                          <a:prstDash val="dash"/>
                                          <a:miter/>
                                          <a:headEnd type="none" w="med" len="med"/>
                                          <a:tailEnd type="none" w="med" len="med"/>
                                        </a:ln>
                                        <a:effectLst/>
                                      </wps:spPr>
                                      <wps:txbx>
                                        <w:txbxContent>
                                          <w:p w14:paraId="1C4F8621">
                                            <w:pPr>
                                              <w:ind w:firstLine="105" w:firstLineChars="50"/>
                                              <w:jc w:val="center"/>
                                              <w:rPr>
                                                <w:b/>
                                              </w:rPr>
                                            </w:pPr>
                                            <w:r>
                                              <w:rPr>
                                                <w:rFonts w:hint="eastAsia"/>
                                                <w:b/>
                                              </w:rPr>
                                              <w:t>认定保险责任</w:t>
                                            </w:r>
                                          </w:p>
                                        </w:txbxContent>
                                      </wps:txbx>
                                      <wps:bodyPr vert="horz" lIns="46800" tIns="46800" rIns="46800" bIns="46800" anchor="ctr" anchorCtr="0" upright="1"/>
                                    </wps:wsp>
                                    <wps:wsp>
                                      <wps:cNvPr id="178" name="AutoShape 29"/>
                                      <wps:cNvCnPr>
                                        <a:stCxn id="168" idx="2"/>
                                        <a:endCxn id="179" idx="0"/>
                                      </wps:cNvCnPr>
                                      <wps:spPr>
                                        <a:xfrm rot="5400000">
                                          <a:off x="439" y="6351"/>
                                          <a:ext cx="476" cy="1"/>
                                        </a:xfrm>
                                        <a:prstGeom prst="bentConnector3">
                                          <a:avLst>
                                            <a:gd name="adj1" fmla="val 49895"/>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79" name="AutoShape 30"/>
                                      <wps:cNvSpPr/>
                                      <wps:spPr>
                                        <a:xfrm>
                                          <a:off x="-287" y="6589"/>
                                          <a:ext cx="1926"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0BA2E87B">
                                            <w:pPr>
                                              <w:jc w:val="center"/>
                                            </w:pPr>
                                            <w:r>
                                              <w:rPr>
                                                <w:rFonts w:hint="eastAsia"/>
                                              </w:rPr>
                                              <w:t>提交保险人索赔</w:t>
                                            </w:r>
                                          </w:p>
                                        </w:txbxContent>
                                      </wps:txbx>
                                      <wps:bodyPr vert="horz" lIns="46800" tIns="46800" rIns="46800" bIns="46800" anchor="ctr" anchorCtr="0" upright="1"/>
                                    </wps:wsp>
                                    <wps:wsp>
                                      <wps:cNvPr id="180" name="AutoShape 31"/>
                                      <wps:cNvSpPr/>
                                      <wps:spPr>
                                        <a:xfrm>
                                          <a:off x="3115" y="6540"/>
                                          <a:ext cx="1474" cy="510"/>
                                        </a:xfrm>
                                        <a:prstGeom prst="flowChartProcess">
                                          <a:avLst/>
                                        </a:prstGeom>
                                        <a:solidFill>
                                          <a:srgbClr val="FFFFFF"/>
                                        </a:solidFill>
                                        <a:ln w="12700" cap="flat" cmpd="sng">
                                          <a:solidFill>
                                            <a:srgbClr val="000000"/>
                                          </a:solidFill>
                                          <a:prstDash val="dash"/>
                                          <a:miter/>
                                          <a:headEnd type="none" w="med" len="med"/>
                                          <a:tailEnd type="none" w="med" len="med"/>
                                        </a:ln>
                                        <a:effectLst/>
                                      </wps:spPr>
                                      <wps:txbx>
                                        <w:txbxContent>
                                          <w:p w14:paraId="0AF64369">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b/>
                                              </w:rPr>
                                            </w:pPr>
                                            <w:r>
                                              <w:rPr>
                                                <w:rFonts w:hint="eastAsia"/>
                                                <w:b/>
                                              </w:rPr>
                                              <w:t>引导鉴定</w:t>
                                            </w:r>
                                          </w:p>
                                        </w:txbxContent>
                                      </wps:txbx>
                                      <wps:bodyPr vert="horz" lIns="46800" tIns="46800" rIns="46800" bIns="46800" anchor="ctr" anchorCtr="0" upright="1"/>
                                    </wps:wsp>
                                    <wps:wsp>
                                      <wps:cNvPr id="181" name="AutoShape 32"/>
                                      <wps:cNvCnPr>
                                        <a:stCxn id="167" idx="3"/>
                                        <a:endCxn id="174" idx="1"/>
                                      </wps:cNvCnPr>
                                      <wps:spPr>
                                        <a:xfrm>
                                          <a:off x="4756" y="5869"/>
                                          <a:ext cx="865" cy="5"/>
                                        </a:xfrm>
                                        <a:prstGeom prst="bentConnector2">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82" name="AutoShape 34"/>
                                      <wps:cNvCnPr>
                                        <a:stCxn id="175" idx="3"/>
                                        <a:endCxn id="176" idx="1"/>
                                      </wps:cNvCnPr>
                                      <wps:spPr>
                                        <a:xfrm>
                                          <a:off x="4813" y="7896"/>
                                          <a:ext cx="806" cy="2"/>
                                        </a:xfrm>
                                        <a:prstGeom prst="bentConnector3">
                                          <a:avLst>
                                            <a:gd name="adj1" fmla="val 50000"/>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83" name="AutoShape 35"/>
                                      <wps:cNvCnPr>
                                        <a:stCxn id="175" idx="1"/>
                                        <a:endCxn id="168" idx="3"/>
                                      </wps:cNvCnPr>
                                      <wps:spPr>
                                        <a:xfrm rot="10800000">
                                          <a:off x="1527" y="5867"/>
                                          <a:ext cx="1358" cy="2029"/>
                                        </a:xfrm>
                                        <a:prstGeom prst="bentConnector3">
                                          <a:avLst>
                                            <a:gd name="adj1" fmla="val 50000"/>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s:wsp>
                                      <wps:cNvPr id="184" name="AutoShape 36"/>
                                      <wps:cNvCnPr>
                                        <a:stCxn id="177" idx="2"/>
                                        <a:endCxn id="173" idx="0"/>
                                      </wps:cNvCnPr>
                                      <wps:spPr>
                                        <a:xfrm rot="5400000" flipV="1">
                                          <a:off x="1758" y="7063"/>
                                          <a:ext cx="530" cy="2695"/>
                                        </a:xfrm>
                                        <a:prstGeom prst="bentConnector3">
                                          <a:avLst>
                                            <a:gd name="adj1" fmla="val 49906"/>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g:grpSp>
                                </wpg:grpSp>
                                <wps:wsp>
                                  <wps:cNvPr id="33" name="AutoShape 16"/>
                                  <wps:cNvCnPr>
                                    <a:stCxn id="166" idx="2"/>
                                    <a:endCxn id="159" idx="0"/>
                                  </wps:cNvCnPr>
                                  <wps:spPr>
                                    <a:xfrm rot="5400000" flipV="1">
                                      <a:off x="8935" y="109618"/>
                                      <a:ext cx="419" cy="4"/>
                                    </a:xfrm>
                                    <a:prstGeom prst="bentConnector3">
                                      <a:avLst>
                                        <a:gd name="adj1" fmla="val 50000"/>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g:grpSp>
                              <wps:wsp>
                                <wps:cNvPr id="116" name="AutoShape 3"/>
                                <wps:cNvCnPr>
                                  <a:stCxn id="180" idx="2"/>
                                  <a:endCxn id="175" idx="0"/>
                                </wps:cNvCnPr>
                                <wps:spPr>
                                  <a:xfrm rot="5400000">
                                    <a:off x="7404" y="114873"/>
                                    <a:ext cx="591" cy="3"/>
                                  </a:xfrm>
                                  <a:prstGeom prst="bentConnector3">
                                    <a:avLst>
                                      <a:gd name="adj1" fmla="val 50085"/>
                                    </a:avLst>
                                  </a:prstGeom>
                                  <a:ln w="15875" cap="flat" cmpd="sng">
                                    <a:solidFill>
                                      <a:srgbClr val="000000"/>
                                    </a:solidFill>
                                    <a:prstDash val="solid"/>
                                    <a:miter/>
                                    <a:headEnd type="none" w="med" len="med"/>
                                    <a:tailEnd type="triangle" w="med" len="med"/>
                                  </a:ln>
                                  <a:effectLst/>
                                </wps:spPr>
                                <wps:bodyPr lIns="46800" tIns="46800" rIns="46800" bIns="46800" anchor="ctr" anchorCtr="0" upright="1"/>
                              </wps:wsp>
                            </wpg:grpSp>
                            <wps:wsp>
                              <wps:cNvPr id="193" name="AutoShape 16"/>
                              <wps:cNvCnPr>
                                <a:stCxn id="159" idx="2"/>
                                <a:endCxn id="171" idx="0"/>
                              </wps:cNvCnPr>
                              <wps:spPr>
                                <a:xfrm rot="5400000">
                                  <a:off x="7028" y="111913"/>
                                  <a:ext cx="480" cy="2"/>
                                </a:xfrm>
                                <a:prstGeom prst="bentConnector3">
                                  <a:avLst>
                                    <a:gd name="adj1" fmla="val 50000"/>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g:grpSp>
                          <wps:wsp>
                            <wps:cNvPr id="195" name="AutoShape 34"/>
                            <wps:cNvCnPr>
                              <a:stCxn id="176" idx="0"/>
                              <a:endCxn id="174" idx="2"/>
                            </wps:cNvCnPr>
                            <wps:spPr>
                              <a:xfrm rot="16200000">
                                <a:off x="13504" y="113830"/>
                                <a:ext cx="1519" cy="2"/>
                              </a:xfrm>
                              <a:prstGeom prst="bentConnector3">
                                <a:avLst>
                                  <a:gd name="adj1" fmla="val 50000"/>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g:grpSp>
                        <wps:wsp>
                          <wps:cNvPr id="197" name="AutoShape 36"/>
                          <wps:cNvCnPr>
                            <a:stCxn id="177" idx="2"/>
                            <a:endCxn id="172" idx="0"/>
                          </wps:cNvCnPr>
                          <wps:spPr>
                            <a:xfrm rot="5400000" flipV="1">
                              <a:off x="7950" y="115682"/>
                              <a:ext cx="530" cy="1"/>
                            </a:xfrm>
                            <a:prstGeom prst="bentConnector3">
                              <a:avLst>
                                <a:gd name="adj1" fmla="val 49906"/>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g:grpSp>
                      <wps:wsp>
                        <wps:cNvPr id="199" name="AutoShape 36"/>
                        <wps:cNvCnPr>
                          <a:stCxn id="179" idx="2"/>
                          <a:endCxn id="177" idx="0"/>
                        </wps:cNvCnPr>
                        <wps:spPr>
                          <a:xfrm rot="5400000">
                            <a:off x="7947" y="114639"/>
                            <a:ext cx="536" cy="1"/>
                          </a:xfrm>
                          <a:prstGeom prst="bentConnector3">
                            <a:avLst>
                              <a:gd name="adj1" fmla="val 49907"/>
                            </a:avLst>
                          </a:prstGeom>
                          <a:ln w="9525" cap="flat" cmpd="sng">
                            <a:solidFill>
                              <a:srgbClr val="000000"/>
                            </a:solidFill>
                            <a:prstDash val="solid"/>
                            <a:miter/>
                            <a:headEnd type="none" w="med" len="med"/>
                            <a:tailEnd type="triangle" w="med" len="med"/>
                          </a:ln>
                          <a:effectLst/>
                        </wps:spPr>
                        <wps:bodyPr lIns="46800" tIns="46800" rIns="46800" bIns="46800" anchor="ctr" anchorCtr="0" upright="1"/>
                      </wps:wsp>
                    </wpg:wgp>
                  </a:graphicData>
                </a:graphic>
              </wp:inline>
            </w:drawing>
          </mc:Choice>
          <mc:Fallback>
            <w:pict>
              <v:group id="_x0000_s1026" o:spid="_x0000_s1026" o:spt="203" style="height:487pt;width:394.6pt;" coordorigin="7252,106717" coordsize="7892,9740" o:gfxdata="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">
                <o:lock v:ext="edit" aspectratio="f"/>
                <v:group id="_x0000_s1026" o:spid="_x0000_s1026" o:spt="203" style="position:absolute;left:7252;top:106717;height:9740;width:7892;" coordorigin="7252,106717" coordsize="7892,9740" o:gfxdata="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b5gRQ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7252;top:106717;height:9740;width:7892;" coordorigin="7364,106392" coordsize="7892,9740" o:gfxdata="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TU1ub0AAADcAAAADwAAAAAAAAABACAAAAAiAAAAZHJzL2Rvd25yZXYueG1s&#10;UEsBAhQAFAAAAAgAh07iQDMvBZ47AAAAOQAAABUAAAAAAAAAAQAgAAAADAEAAGRycy9ncm91cHNo&#10;YXBleG1sLnhtbFBLBQYAAAAABgAGAGABAADJAwAAAAA=&#10;">
                    <o:lock v:ext="edit" aspectratio="f"/>
                    <v:group id="_x0000_s1026" o:spid="_x0000_s1026" o:spt="203" style="position:absolute;left:7364;top:106392;height:9740;width:7892;" coordorigin="4395,106749" coordsize="7892,9740" o:gfxdata="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qrDlW+AAAA3AAAAA8AAAAAAAAAAQAgAAAAIgAAAGRycy9kb3ducmV2Lnht&#10;bFBLAQIUABQAAAAIAIdO4kAzLwWeOwAAADkAAAAVAAAAAAAAAAEAIAAAAA0BAABkcnMvZ3JvdXBz&#10;aGFwZXhtbC54bWxQSwUGAAAAAAYABgBgAQAAygMAAAAA&#10;">
                      <o:lock v:ext="edit" aspectratio="f"/>
                      <v:group id="_x0000_s1026" o:spid="_x0000_s1026" o:spt="203" style="position:absolute;left:4395;top:106749;height:9740;width:7892;" coordorigin="3562,106974" coordsize="7892,9740" o:gfxdata="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A7KNk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3562;top:106974;height:9740;width:7892;" coordorigin="6272,106381" coordsize="7892,9740" o:gfxdata="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QZvGW+AAAA3AAAAA8AAAAAAAAAAQAgAAAAIgAAAGRycy9kb3ducmV2Lnht&#10;bFBLAQIUABQAAAAIAIdO4kAzLwWeOwAAADkAAAAVAAAAAAAAAAEAIAAAAA0BAABkcnMvZ3JvdXBz&#10;aGFwZXhtbC54bWxQSwUGAAAAAAYABgBgAQAAygMAAAAA&#10;">
                          <o:lock v:ext="edit" aspectratio="f"/>
                          <v:group id="组合 34" o:spid="_x0000_s1026" o:spt="203" style="position:absolute;left:6272;top:106381;height:9740;width:7892;" coordorigin="-287,-555" coordsize="7892,9740" o:gfxdata="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8WUXV70AAADcAAAADwAAAAAAAAABACAAAAAiAAAAZHJzL2Rvd25yZXYueG1s&#10;UEsBAhQAFAAAAAgAh07iQDMvBZ47AAAAOQAAABUAAAAAAAAAAQAgAAAADAEAAGRycy9ncm91cHNo&#10;YXBleG1sLnhtbFBLBQYAAAAABgAGAGABAADJAwAAAAA=&#10;">
                            <o:lock v:ext="edit" aspectratio="f"/>
                            <v:shape id="AutoShape 3" o:spid="_x0000_s1026" o:spt="34" type="#_x0000_t34" style="position:absolute;left:3643;top:6331;flip:y;height:3;width:416;rotation:-5898240f;" filled="f" stroked="t" coordsize="21600,21600" o:gfxdata="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bBmmLsAAADc&#10;AAAADwAAAAAAAAABACAAAAAiAAAAZHJzL2Rvd25yZXYueG1sUEsBAhQAFAAAAAgAh07iQDMvBZ47&#10;AAAAOQAAABAAAAAAAAAAAQAgAAAACgEAAGRycy9zaGFwZXhtbC54bWxQSwUGAAAAAAYABgBbAQAA&#10;tAMAAAAA&#10;" adj="10774">
                              <v:fill on="f" focussize="0,0"/>
                              <v:stroke weight="1.25pt" color="#000000" joinstyle="miter" endarrow="block"/>
                              <v:imagedata o:title=""/>
                              <o:lock v:ext="edit" aspectratio="f"/>
                            </v:shape>
                            <v:group id="Group 5" o:spid="_x0000_s1026" o:spt="203" style="position:absolute;left:-287;top:-555;height:9740;width:7892;" coordorigin="-287,-555" coordsize="7892,9740" o:gfxdata="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4RK0z70AAADcAAAADwAAAAAAAAABACAAAAAiAAAAZHJzL2Rvd25yZXYueG1s&#10;UEsBAhQAFAAAAAgAh07iQDMvBZ47AAAAOQAAABUAAAAAAAAAAQAgAAAADAEAAGRycy9ncm91cHNo&#10;YXBleG1sLnhtbFBLBQYAAAAABgAGAGABAADJAwAAAAA=&#10;">
                              <o:lock v:ext="edit" aspectratio="f"/>
                              <v:group id="Group 6" o:spid="_x0000_s1026" o:spt="203" style="position:absolute;left:-174;top:-555;height:6679;width:7599;" coordorigin="-189,-555" coordsize="7599,6679" o:gfxdata="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l4RVL0AAADcAAAADwAAAAAAAAABACAAAAAiAAAAZHJzL2Rvd25yZXYueG1s&#10;UEsBAhQAFAAAAAgAh07iQDMvBZ47AAAAOQAAABUAAAAAAAAAAQAgAAAADAEAAGRycy9ncm91cHNo&#10;YXBleG1sLnhtbFBLBQYAAAAABgAGAGABAADJAwAAAAA=&#10;">
                                <o:lock v:ext="edit" aspectratio="f"/>
                                <v:shape id="AutoShape 7" o:spid="_x0000_s1026" o:spt="109" type="#_x0000_t109" style="position:absolute;left:4167;top:-555;height:1050;width:3243;v-text-anchor:middle;" fillcolor="#FFFFFF" filled="t" stroked="t" coordsize="21600,21600" o:gfxdata="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Oi+y8AAAA&#10;3AAAAA8AAAAAAAAAAQAgAAAAIgAAAGRycy9kb3ducmV2LnhtbFBLAQIUABQAAAAIAIdO4kAzLwWe&#10;OwAAADkAAAAQAAAAAAAAAAEAIAAAAAsBAABkcnMvc2hhcGV4bWwueG1sUEsFBgAAAAAGAAYAWwEA&#10;ALUDAAAAAA==&#10;">
                                  <v:fill on="t" focussize="0,0"/>
                                  <v:stroke weight="1pt" color="#000000" joinstyle="miter" dashstyle="dash"/>
                                  <v:imagedata o:title=""/>
                                  <o:lock v:ext="edit" aspectratio="f"/>
                                  <v:textbox inset="1.3mm,1.3mm,1.3mm,1.3mm">
                                    <w:txbxContent>
                                      <w:p w14:paraId="5BE81F56">
                                        <w:pPr>
                                          <w:keepNext w:val="0"/>
                                          <w:keepLines w:val="0"/>
                                          <w:pageBreakBefore w:val="0"/>
                                          <w:widowControl w:val="0"/>
                                          <w:kinsoku/>
                                          <w:wordWrap w:val="0"/>
                                          <w:overflowPunct/>
                                          <w:topLinePunct w:val="0"/>
                                          <w:autoSpaceDE/>
                                          <w:autoSpaceDN/>
                                          <w:bidi w:val="0"/>
                                          <w:adjustRightInd/>
                                          <w:snapToGrid/>
                                          <w:textAlignment w:val="auto"/>
                                          <w:rPr>
                                            <w:b/>
                                          </w:rPr>
                                        </w:pPr>
                                        <w:r>
                                          <w:rPr>
                                            <w:rFonts w:hint="eastAsia"/>
                                            <w:b/>
                                          </w:rPr>
                                          <w:t>报案内容：就诊时间、事件发生时间、大致诊疗过程、患者最终状态、投诉事件、患者诉求等</w:t>
                                        </w:r>
                                      </w:p>
                                    </w:txbxContent>
                                  </v:textbox>
                                </v:shape>
                                <v:group id="Group 8" o:spid="_x0000_s1026" o:spt="203" style="position:absolute;left:-189;top:167;height:5957;width:5405;" coordorigin="-189,0" coordsize="5405,5957" o:gfxdata="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RwCq4vAAAANwAAAAPAAAAAAAAAAEAIAAAACIAAABkcnMvZG93bnJldi54bWxQ&#10;SwECFAAUAAAACACHTuJAMy8FnjsAAAA5AAAAFQAAAAAAAAABACAAAAALAQAAZHJzL2dyb3Vwc2hh&#10;cGV4bWwueG1sUEsFBgAAAAAGAAYAYAEAAMgDAAAAAA==&#10;">
                                  <o:lock v:ext="edit" aspectratio="f"/>
                                  <v:shape id="AutoShape 9" o:spid="_x0000_s1026" o:spt="109" type="#_x0000_t109" style="position:absolute;left:1860;top:0;height:499;width:1417;v-text-anchor:middle;" fillcolor="#FFFFFF" filled="t" stroked="t" coordsize="21600,21600" o:gfxdata="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Nrpu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1CEC08B0">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纠纷报案</w:t>
                                          </w:r>
                                        </w:p>
                                      </w:txbxContent>
                                    </v:textbox>
                                  </v:shape>
                                  <v:shape id="AutoShape 10" o:spid="_x0000_s1026" o:spt="109" type="#_x0000_t109" style="position:absolute;left:587;top:2726;height:1477;width:3969;v-text-anchor:middle;" fillcolor="#FFFFFF" filled="t" stroked="t" coordsize="21600,21600" o:gfxdata="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ZEfnrsAAADc&#10;AAAADwAAAAAAAAABACAAAAAiAAAAZHJzL2Rvd25yZXYueG1sUEsBAhQAFAAAAAgAh07iQDMvBZ47&#10;AAAAOQAAABAAAAAAAAAAAQAgAAAACgEAAGRycy9zaGFwZXhtbC54bWxQSwUGAAAAAAYABgBbAQAA&#10;tAMAAAAA&#10;">
                                    <v:fill on="t" focussize="0,0"/>
                                    <v:stroke weight="1pt" color="#000000" joinstyle="miter" dashstyle="dash"/>
                                    <v:imagedata o:title=""/>
                                    <o:lock v:ext="edit" aspectratio="f"/>
                                    <v:textbox inset="1.3mm,1.3mm,1.3mm,1.3mm">
                                      <w:txbxContent>
                                        <w:p w14:paraId="67BDC63D">
                                          <w:pPr>
                                            <w:rPr>
                                              <w:b/>
                                            </w:rPr>
                                          </w:pPr>
                                          <w:r>
                                            <w:rPr>
                                              <w:rFonts w:hint="eastAsia"/>
                                              <w:b/>
                                            </w:rPr>
                                            <w:t>专家分析：是否存在过错及过错类型？</w:t>
                                          </w:r>
                                        </w:p>
                                        <w:p w14:paraId="3BDAF3BE">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是否违反诊疗常规？</w:t>
                                          </w:r>
                                        </w:p>
                                        <w:p w14:paraId="5D766B4E">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损害金额？</w:t>
                                          </w:r>
                                        </w:p>
                                        <w:p w14:paraId="4EEC6052">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处理建议？</w:t>
                                          </w:r>
                                        </w:p>
                                      </w:txbxContent>
                                    </v:textbox>
                                  </v:shape>
                                  <v:shape id="AutoShape 11" o:spid="_x0000_s1026" o:spt="109" type="#_x0000_t109" style="position:absolute;left:-12;top:1026;height:515;width:1922;v-text-anchor:middle;" fillcolor="#FFFFFF" filled="t" stroked="t" coordsize="21600,21600" o:gfxdata="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LHzV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1039EBC4">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广东和谐医调委</w:t>
                                          </w:r>
                                        </w:p>
                                      </w:txbxContent>
                                    </v:textbox>
                                  </v:shape>
                                  <v:shape id="AutoShape 12" o:spid="_x0000_s1026" o:spt="109" type="#_x0000_t109" style="position:absolute;left:3194;top:1016;height:499;width:2022;v-text-anchor:middle;" fillcolor="#FFFFFF" filled="t" stroked="t" coordsize="21600,21600" o:gfxdata="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2DZTrsAAADc&#10;AAAADwAAAAAAAAABACAAAAAiAAAAZHJzL2Rvd25yZXYueG1sUEsBAhQAFAAAAAgAh07iQDMvBZ47&#10;AAAAOQAAABAAAAAAAAAAAQAgAAAACgEAAGRycy9zaGFwZXhtbC54bWxQSwUGAAAAAAYABgBbAQAA&#10;tAMAAAAA&#10;">
                                    <v:fill on="t" focussize="0,0"/>
                                    <v:stroke weight="2.5pt" color="#000000" joinstyle="miter"/>
                                    <v:imagedata o:title=""/>
                                    <o:lock v:ext="edit" aspectratio="f"/>
                                    <v:textbox inset="1.3mm,1.3mm,1.3mm,1.3mm">
                                      <w:txbxContent>
                                        <w:p w14:paraId="2919F49D">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保险经纪公司</w:t>
                                          </w:r>
                                        </w:p>
                                      </w:txbxContent>
                                    </v:textbox>
                                  </v:shape>
                                  <v:shape id="AutoShape 13" o:spid="_x0000_s1026" o:spt="34" type="#_x0000_t34" style="position:absolute;left:1496;top:-47;height:1620;width:527;rotation:5898240f;" filled="f" stroked="t" coordsize="21600,21600" o:gfxdata="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0/ukFugAAANwA&#10;AAAPAAAAAAAAAAEAIAAAACIAAABkcnMvZG93bnJldi54bWxQSwECFAAUAAAACACHTuJAMy8FnjsA&#10;AAA5AAAAEAAAAAAAAAABACAAAAAJAQAAZHJzL3NoYXBleG1sLnhtbFBLBQYAAAAABgAGAFsBAACz&#10;AwAAAAA=&#10;" adj="10800">
                                    <v:fill on="f" focussize="0,0"/>
                                    <v:stroke color="#000000" joinstyle="miter" endarrow="block"/>
                                    <v:imagedata o:title=""/>
                                    <o:lock v:ext="edit" aspectratio="f"/>
                                  </v:shape>
                                  <v:shape id="AutoShape 14" o:spid="_x0000_s1026" o:spt="34" type="#_x0000_t34" style="position:absolute;left:3127;top:-63;flip:y;height:1641;width:517;rotation:-5898240f;" filled="f" stroked="t" coordsize="21600,21600" o:gfxdata="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GuB68AAAA&#10;3AAAAA8AAAAAAAAAAQAgAAAAIgAAAGRycy9kb3ducmV2LnhtbFBLAQIUABQAAAAIAIdO4kAzLwWe&#10;OwAAADkAAAAQAAAAAAAAAAEAIAAAAAsBAABkcnMvc2hhcGV4bWwueG1sUEsFBgAAAAAGAAYAWwEA&#10;ALUDAAAAAA==&#10;" adj="10800">
                                    <v:fill on="f" focussize="0,0"/>
                                    <v:stroke color="#000000" joinstyle="miter" endarrow="block"/>
                                    <v:imagedata o:title=""/>
                                    <o:lock v:ext="edit" aspectratio="f"/>
                                  </v:shape>
                                  <v:shape id="AutoShape 16" o:spid="_x0000_s1026" o:spt="33" type="#_x0000_t33" style="position:absolute;left:1146;top:1345;flip:y;height:910;width:517;rotation:-5898240f;" filled="f" stroked="t" coordsize="21600,21600" o:gfxdata="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itXa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AutoShape 17" o:spid="_x0000_s1026" o:spt="109" type="#_x0000_t109" style="position:absolute;left:1859;top:1808;height:499;width:1417;v-text-anchor:middle;" fillcolor="#FFFFFF" filled="t" stroked="t" coordsize="21600,21600" o:gfxdata="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JQTq8AAAA&#10;3AAAAA8AAAAAAAAAAQAgAAAAIgAAAGRycy9kb3ducmV2LnhtbFBLAQIUABQAAAAIAIdO4kAzLwWe&#10;OwAAADkAAAAQAAAAAAAAAAEAIAAAAAsBAABkcnMvc2hhcGV4bWwueG1sUEsFBgAAAAAGAAYAWwEA&#10;ALUDAAAAAA==&#10;">
                                    <v:fill on="t" focussize="0,0"/>
                                    <v:stroke weight="2.5pt" color="#000000" joinstyle="miter"/>
                                    <v:imagedata o:title=""/>
                                    <o:lock v:ext="edit" aspectratio="f"/>
                                    <v:textbox inset="1.3mm,1.3mm,1.3mm,1.3mm">
                                      <w:txbxContent>
                                        <w:p w14:paraId="7DA1293C">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调查取证</w:t>
                                          </w:r>
                                        </w:p>
                                      </w:txbxContent>
                                    </v:textbox>
                                  </v:shape>
                                  <v:shape id="AutoShape 18" o:spid="_x0000_s1026" o:spt="109" type="#_x0000_t109" style="position:absolute;left:2927;top:5447;height:510;width:1814;v-text-anchor:middle;" fillcolor="#FFFFFF" filled="t" stroked="t" coordsize="21600,21600" o:gfxdata="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Xkob4A&#10;AADcAAAADwAAAAAAAAABACAAAAAiAAAAZHJzL2Rvd25yZXYueG1sUEsBAhQAFAAAAAgAh07iQDMv&#10;BZ47AAAAOQAAABAAAAAAAAAAAQAgAAAADQEAAGRycy9zaGFwZXhtbC54bWxQSwUGAAAAAAYABgBb&#10;AQAAtwMAAAAA&#10;">
                                    <v:fill on="t" focussize="0,0"/>
                                    <v:stroke weight="2.5pt" color="#000000" joinstyle="miter"/>
                                    <v:imagedata o:title=""/>
                                    <o:lock v:ext="edit" aspectratio="f"/>
                                    <v:textbox inset="1.3mm,1.3mm,1.3mm,1.3mm">
                                      <w:txbxContent>
                                        <w:p w14:paraId="4B8DB64B">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医患双方不同意</w:t>
                                          </w:r>
                                        </w:p>
                                      </w:txbxContent>
                                    </v:textbox>
                                  </v:shape>
                                  <v:shape id="AutoShape 19" o:spid="_x0000_s1026" o:spt="109" type="#_x0000_t109" style="position:absolute;left:-189;top:5445;height:510;width:1701;v-text-anchor:middle;" fillcolor="#FFFFFF" filled="t" stroked="t" coordsize="21600,21600" o:gfxdata="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WnDT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43CC8379">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医患双方同意</w:t>
                                          </w:r>
                                        </w:p>
                                      </w:txbxContent>
                                    </v:textbox>
                                  </v:shape>
                                  <v:shape id="AutoShape 20" o:spid="_x0000_s1026" o:spt="33" type="#_x0000_t33" style="position:absolute;left:662;top:4945;flip:y;height:500;width:1057;rotation:11796480f;" filled="f" stroked="t" coordsize="21600,21600" o:gfxdata="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18ZXvQAA&#10;ANwAAAAPAAAAAAAAAAEAIAAAACIAAABkcnMvZG93bnJldi54bWxQSwECFAAUAAAACACHTuJAMy8F&#10;njsAAAA5AAAAEAAAAAAAAAABACAAAAAMAQAAZHJzL3NoYXBleG1sLnhtbFBLBQYAAAAABgAGAFsB&#10;AAC2AwAAAAA=&#10;">
                                    <v:fill on="f" focussize="0,0"/>
                                    <v:stroke color="#000000" joinstyle="miter" endarrow="block"/>
                                    <v:imagedata o:title=""/>
                                    <o:lock v:ext="edit" aspectratio="f"/>
                                  </v:shape>
                                  <v:shape id="AutoShape 21" o:spid="_x0000_s1026" o:spt="33" type="#_x0000_t33" style="position:absolute;left:3420;top:4938;height:509;width:414;" filled="f" stroked="t" coordsize="21600,21600" o:gfxdata="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xUPbu/&#10;AAAA3AAAAA8AAAAAAAAAAQAgAAAAIgAAAGRycy9kb3ducmV2LnhtbFBLAQIUABQAAAAIAIdO4kAz&#10;LwWeOwAAADkAAAAQAAAAAAAAAAEAIAAAAA4BAABkcnMvc2hhcGV4bWwueG1sUEsFBgAAAAAGAAYA&#10;WwEAALgDAAAAAA==&#10;">
                                    <v:fill on="f" focussize="0,0"/>
                                    <v:stroke color="#000000" joinstyle="miter" endarrow="block"/>
                                    <v:imagedata o:title=""/>
                                    <o:lock v:ext="edit" aspectratio="f"/>
                                  </v:shape>
                                  <v:shape id="AutoShape 22" o:spid="_x0000_s1026" o:spt="109" type="#_x0000_t109" style="position:absolute;left:1719;top:4683;height:510;width:1701;v-text-anchor:middle;" fillcolor="#FFFFFF" filled="t" stroked="t" coordsize="21600,21600" o:gfxdata="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65T5O8AAAA&#10;3AAAAA8AAAAAAAAAAQAgAAAAIgAAAGRycy9kb3ducmV2LnhtbFBLAQIUABQAAAAIAIdO4kAzLwWe&#10;OwAAADkAAAAQAAAAAAAAAAEAIAAAAAsBAABkcnMvc2hhcGV4bWwueG1sUEsFBgAAAAAGAAYAWwEA&#10;ALUDAAAAAA==&#10;">
                                    <v:fill on="t" focussize="0,0"/>
                                    <v:stroke weight="2.5pt" color="#000000" joinstyle="miter"/>
                                    <v:imagedata o:title=""/>
                                    <o:lock v:ext="edit" aspectratio="f"/>
                                    <v:textbox inset="1.3mm,1.3mm,1.3mm,1.3mm">
                                      <w:txbxContent>
                                        <w:p w14:paraId="72CA5574">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进入调解程序</w:t>
                                          </w:r>
                                        </w:p>
                                      </w:txbxContent>
                                    </v:textbox>
                                  </v:shape>
                                </v:group>
                              </v:group>
                              <v:shape id="AutoShape 23" o:spid="_x0000_s1026" o:spt="109" type="#_x0000_t109" style="position:absolute;left:-175;top:8675;height:510;width:1701;v-text-anchor:middle;" fillcolor="#FFFFFF" filled="t" stroked="t" coordsize="21600,21600" o:gfxdata="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5r0eS8AAAA&#10;3AAAAA8AAAAAAAAAAQAgAAAAIgAAAGRycy9kb3ducmV2LnhtbFBLAQIUABQAAAAIAIdO4kAzLwWe&#10;OwAAADkAAAAQAAAAAAAAAAEAIAAAAAsBAABkcnMvc2hhcGV4bWwueG1sUEsFBgAAAAAGAAYAWwEA&#10;ALUDAAAAAA==&#10;">
                                <v:fill on="t" focussize="0,0"/>
                                <v:stroke weight="2.5pt" color="#000000" joinstyle="miter"/>
                                <v:imagedata o:title=""/>
                                <o:lock v:ext="edit" aspectratio="f"/>
                                <v:textbox inset="1.3mm,1.3mm,1.3mm,1.3mm">
                                  <w:txbxContent>
                                    <w:p w14:paraId="58E48BC0">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支付给患方</w:t>
                                      </w:r>
                                    </w:p>
                                  </w:txbxContent>
                                </v:textbox>
                              </v:shape>
                              <v:shape id="AutoShape 24" o:spid="_x0000_s1026" o:spt="109" type="#_x0000_t109" style="position:absolute;left:2519;top:8675;height:510;width:1701;v-text-anchor:middle;" fillcolor="#FFFFFF" filled="t" stroked="t" coordsize="21600,21600" o:gfxdata="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J3R/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3161E757">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或支付给医院</w:t>
                                      </w:r>
                                    </w:p>
                                  </w:txbxContent>
                                </v:textbox>
                              </v:shape>
                              <v:shape id="AutoShape 25" o:spid="_x0000_s1026" o:spt="109" type="#_x0000_t109" style="position:absolute;left:5621;top:5614;height:510;width:1984;v-text-anchor:middle;" fillcolor="#FFFFFF" filled="t" stroked="t" coordsize="21600,21600" o:gfxdata="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s7sC74A&#10;AADcAAAADwAAAAAAAAABACAAAAAiAAAAZHJzL2Rvd25yZXYueG1sUEsBAhQAFAAAAAgAh07iQDMv&#10;BZ47AAAAOQAAABAAAAAAAAAAAQAgAAAADQEAAGRycy9zaGFwZXhtbC54bWxQSwUGAAAAAAYABgBb&#10;AQAAtwMAAAAA&#10;">
                                <v:fill on="t" focussize="0,0"/>
                                <v:stroke weight="2.5pt" color="#000000" joinstyle="miter"/>
                                <v:imagedata o:title=""/>
                                <o:lock v:ext="edit" aspectratio="f"/>
                                <v:textbox inset="1.3mm,1.3mm,1.3mm,1.3mm">
                                  <w:txbxContent>
                                    <w:p w14:paraId="0B078CA8">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引导走诉讼</w:t>
                                      </w:r>
                                    </w:p>
                                  </w:txbxContent>
                                </v:textbox>
                              </v:shape>
                              <v:shape id="AutoShape 26" o:spid="_x0000_s1026" o:spt="109" type="#_x0000_t109" style="position:absolute;left:2885;top:7641;height:510;width:1928;v-text-anchor:middle;" fillcolor="#FFFFFF" filled="t" stroked="t" coordsize="21600,21600" o:gfxdata="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YJJkLsAAADc&#10;AAAADwAAAAAAAAABACAAAAAiAAAAZHJzL2Rvd25yZXYueG1sUEsBAhQAFAAAAAgAh07iQDMvBZ47&#10;AAAAOQAAABAAAAAAAAAAAQAgAAAACgEAAGRycy9zaGFwZXhtbC54bWxQSwUGAAAAAAYABgBbAQAA&#10;tAMAAAAA&#10;">
                                <v:fill on="t" focussize="0,0"/>
                                <v:stroke weight="2.5pt" color="#000000" joinstyle="miter"/>
                                <v:imagedata o:title=""/>
                                <o:lock v:ext="edit" aspectratio="f"/>
                                <v:textbox inset="1.3mm,1.3mm,1.3mm,1.3mm">
                                  <w:txbxContent>
                                    <w:p w14:paraId="098AEF35">
                                      <w:pPr>
                                        <w:ind w:firstLine="105" w:firstLineChars="50"/>
                                        <w:jc w:val="center"/>
                                      </w:pPr>
                                      <w:r>
                                        <w:rPr>
                                          <w:rFonts w:hint="eastAsia"/>
                                        </w:rPr>
                                        <w:t>再进入调解程序</w:t>
                                      </w:r>
                                    </w:p>
                                  </w:txbxContent>
                                </v:textbox>
                              </v:shape>
                              <v:shape id="AutoShape 27" o:spid="_x0000_s1026" o:spt="109" type="#_x0000_t109" style="position:absolute;left:5619;top:7643;height:510;width:1984;v-text-anchor:middle;" fillcolor="#FFFFFF" filled="t" stroked="t" coordsize="21600,21600" o:gfxdata="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VDX574A&#10;AADcAAAADwAAAAAAAAABACAAAAAiAAAAZHJzL2Rvd25yZXYueG1sUEsBAhQAFAAAAAgAh07iQDMv&#10;BZ47AAAAOQAAABAAAAAAAAAAAQAgAAAADQEAAGRycy9zaGFwZXhtbC54bWxQSwUGAAAAAAYABgBb&#10;AQAAtwMAAAAA&#10;">
                                <v:fill on="t" focussize="0,0"/>
                                <v:stroke weight="2.5pt" color="#000000" joinstyle="miter"/>
                                <v:imagedata o:title=""/>
                                <o:lock v:ext="edit" aspectratio="f"/>
                                <v:textbox inset="1.3mm,1.3mm,1.3mm,1.3mm">
                                  <w:txbxContent>
                                    <w:p w14:paraId="16C41A80">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医患双方不同意</w:t>
                                      </w:r>
                                    </w:p>
                                  </w:txbxContent>
                                </v:textbox>
                              </v:shape>
                              <v:shape id="AutoShape 28" o:spid="_x0000_s1026" o:spt="109" type="#_x0000_t109" style="position:absolute;left:-176;top:7635;height:510;width:1701;v-text-anchor:middle;" fillcolor="#FFFFFF" filled="t" stroked="t" coordsize="21600,21600" o:gfxdata="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3che8AAAA&#10;3AAAAA8AAAAAAAAAAQAgAAAAIgAAAGRycy9kb3ducmV2LnhtbFBLAQIUABQAAAAIAIdO4kAzLwWe&#10;OwAAADkAAAAQAAAAAAAAAAEAIAAAAAsBAABkcnMvc2hhcGV4bWwueG1sUEsFBgAAAAAGAAYAWwEA&#10;ALUDAAAAAA==&#10;">
                                <v:fill on="t" focussize="0,0"/>
                                <v:stroke weight="1pt" color="#000000" joinstyle="miter" dashstyle="dash"/>
                                <v:imagedata o:title=""/>
                                <o:lock v:ext="edit" aspectratio="f"/>
                                <v:textbox inset="1.3mm,1.3mm,1.3mm,1.3mm">
                                  <w:txbxContent>
                                    <w:p w14:paraId="1C4F8621">
                                      <w:pPr>
                                        <w:ind w:firstLine="105" w:firstLineChars="50"/>
                                        <w:jc w:val="center"/>
                                        <w:rPr>
                                          <w:b/>
                                        </w:rPr>
                                      </w:pPr>
                                      <w:r>
                                        <w:rPr>
                                          <w:rFonts w:hint="eastAsia"/>
                                          <w:b/>
                                        </w:rPr>
                                        <w:t>认定保险责任</w:t>
                                      </w:r>
                                    </w:p>
                                  </w:txbxContent>
                                </v:textbox>
                              </v:shape>
                              <v:shape id="AutoShape 29" o:spid="_x0000_s1026" o:spt="34" type="#_x0000_t34" style="position:absolute;left:439;top:6351;height:1;width:476;rotation:5898240f;" filled="f" stroked="t" coordsize="21600,21600" o:gfxdata="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2DhkW/&#10;AAAA3AAAAA8AAAAAAAAAAQAgAAAAIgAAAGRycy9kb3ducmV2LnhtbFBLAQIUABQAAAAIAIdO4kAz&#10;LwWeOwAAADkAAAAQAAAAAAAAAAEAIAAAAA4BAABkcnMvc2hhcGV4bWwueG1sUEsFBgAAAAAGAAYA&#10;WwEAALgDAAAAAA==&#10;" adj="10777">
                                <v:fill on="f" focussize="0,0"/>
                                <v:stroke color="#000000" joinstyle="miter" endarrow="block"/>
                                <v:imagedata o:title=""/>
                                <o:lock v:ext="edit" aspectratio="f"/>
                              </v:shape>
                              <v:shape id="AutoShape 30" o:spid="_x0000_s1026" o:spt="109" type="#_x0000_t109" style="position:absolute;left:-287;top:6589;height:510;width:1926;v-text-anchor:middle;" fillcolor="#FFFFFF" filled="t" stroked="t" coordsize="21600,21600" o:gfxdata="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z0OV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0BA2E87B">
                                      <w:pPr>
                                        <w:jc w:val="center"/>
                                      </w:pPr>
                                      <w:r>
                                        <w:rPr>
                                          <w:rFonts w:hint="eastAsia"/>
                                        </w:rPr>
                                        <w:t>提交保险人索赔</w:t>
                                      </w:r>
                                    </w:p>
                                  </w:txbxContent>
                                </v:textbox>
                              </v:shape>
                              <v:shape id="AutoShape 31" o:spid="_x0000_s1026" o:spt="109" type="#_x0000_t109" style="position:absolute;left:3115;top:6540;height:510;width:1474;v-text-anchor:middle;" fillcolor="#FFFFFF" filled="t" stroked="t" coordsize="21600,21600" o:gfxdata="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y5pEvQAA&#10;ANwAAAAPAAAAAAAAAAEAIAAAACIAAABkcnMvZG93bnJldi54bWxQSwECFAAUAAAACACHTuJAMy8F&#10;njsAAAA5AAAAEAAAAAAAAAABACAAAAAMAQAAZHJzL3NoYXBleG1sLnhtbFBLBQYAAAAABgAGAFsB&#10;AAC2AwAAAAA=&#10;">
                                <v:fill on="t" focussize="0,0"/>
                                <v:stroke weight="1pt" color="#000000" joinstyle="miter" dashstyle="dash"/>
                                <v:imagedata o:title=""/>
                                <o:lock v:ext="edit" aspectratio="f"/>
                                <v:textbox inset="1.3mm,1.3mm,1.3mm,1.3mm">
                                  <w:txbxContent>
                                    <w:p w14:paraId="0AF64369">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b/>
                                        </w:rPr>
                                      </w:pPr>
                                      <w:r>
                                        <w:rPr>
                                          <w:rFonts w:hint="eastAsia"/>
                                          <w:b/>
                                        </w:rPr>
                                        <w:t>引导鉴定</w:t>
                                      </w:r>
                                    </w:p>
                                  </w:txbxContent>
                                </v:textbox>
                              </v:shape>
                              <v:shape id="AutoShape 32" o:spid="_x0000_s1026" o:spt="33" type="#_x0000_t33" style="position:absolute;left:4756;top:5869;height:5;width:865;" filled="f" stroked="t" coordsize="21600,21600" o:gfxdata="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N6Ae8AAAA&#10;3AAAAA8AAAAAAAAAAQAgAAAAIgAAAGRycy9kb3ducmV2LnhtbFBLAQIUABQAAAAIAIdO4kAzLwWe&#10;OwAAADkAAAAQAAAAAAAAAAEAIAAAAAsBAABkcnMvc2hhcGV4bWwueG1sUEsFBgAAAAAGAAYAWwEA&#10;ALUDAAAAAA==&#10;">
                                <v:fill on="f" focussize="0,0"/>
                                <v:stroke color="#000000" joinstyle="miter" endarrow="block"/>
                                <v:imagedata o:title=""/>
                                <o:lock v:ext="edit" aspectratio="f"/>
                              </v:shape>
                              <v:shape id="AutoShape 34" o:spid="_x0000_s1026" o:spt="34" type="#_x0000_t34" style="position:absolute;left:4813;top:7896;height:2;width:806;" filled="f" stroked="t" coordsize="21600,21600" o:gfxdata="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stkabsAAADc&#10;AAAADwAAAAAAAAABACAAAAAiAAAAZHJzL2Rvd25yZXYueG1sUEsBAhQAFAAAAAgAh07iQDMvBZ47&#10;AAAAOQAAABAAAAAAAAAAAQAgAAAACgEAAGRycy9zaGFwZXhtbC54bWxQSwUGAAAAAAYABgBbAQAA&#10;tAMAAAAA&#10;" adj="10800">
                                <v:fill on="f" focussize="0,0"/>
                                <v:stroke color="#000000" joinstyle="miter" endarrow="block"/>
                                <v:imagedata o:title=""/>
                                <o:lock v:ext="edit" aspectratio="f"/>
                              </v:shape>
                              <v:shape id="AutoShape 35" o:spid="_x0000_s1026" o:spt="34" type="#_x0000_t34" style="position:absolute;left:1527;top:5867;height:2029;width:1358;rotation:11796480f;" filled="f" stroked="t" coordsize="21600,21600" o:gfxdata="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9mQIr4A&#10;AADcAAAADwAAAAAAAAABACAAAAAiAAAAZHJzL2Rvd25yZXYueG1sUEsBAhQAFAAAAAgAh07iQDMv&#10;BZ47AAAAOQAAABAAAAAAAAAAAQAgAAAADQEAAGRycy9zaGFwZXhtbC54bWxQSwUGAAAAAAYABgBb&#10;AQAAtwMAAAAA&#10;" adj="10800">
                                <v:fill on="f" focussize="0,0"/>
                                <v:stroke color="#000000" joinstyle="miter" endarrow="block"/>
                                <v:imagedata o:title=""/>
                                <o:lock v:ext="edit" aspectratio="f"/>
                              </v:shape>
                              <v:shape id="AutoShape 36" o:spid="_x0000_s1026" o:spt="34" type="#_x0000_t34" style="position:absolute;left:1758;top:7063;flip:y;height:2695;width:530;rotation:-5898240f;" filled="f" stroked="t" coordsize="21600,21600" o:gfxdata="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1CYsb4A&#10;AADcAAAADwAAAAAAAAABACAAAAAiAAAAZHJzL2Rvd25yZXYueG1sUEsBAhQAFAAAAAgAh07iQDMv&#10;BZ47AAAAOQAAABAAAAAAAAAAAQAgAAAADQEAAGRycy9zaGFwZXhtbC54bWxQSwUGAAAAAAYABgBb&#10;AQAAtwMAAAAA&#10;" adj="10780">
                                <v:fill on="f" focussize="0,0"/>
                                <v:stroke color="#000000" joinstyle="miter" endarrow="block"/>
                                <v:imagedata o:title=""/>
                                <o:lock v:ext="edit" aspectratio="f"/>
                              </v:shape>
                            </v:group>
                          </v:group>
                          <v:shape id="AutoShape 16" o:spid="_x0000_s1026" o:spt="34" type="#_x0000_t34" style="position:absolute;left:8935;top:109618;flip:y;height:4;width:419;rotation:-5898240f;" filled="f" stroked="t" coordsize="21600,21600" o:gfxdata="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v4F674A&#10;AADbAAAADwAAAAAAAAABACAAAAAiAAAAZHJzL2Rvd25yZXYueG1sUEsBAhQAFAAAAAgAh07iQDMv&#10;BZ47AAAAOQAAABAAAAAAAAAAAQAgAAAADQEAAGRycy9zaGFwZXhtbC54bWxQSwUGAAAAAAYABgBb&#10;AQAAtwMAAAAA&#10;" adj="10800">
                            <v:fill on="f" focussize="0,0"/>
                            <v:stroke color="#000000" joinstyle="miter" endarrow="block"/>
                            <v:imagedata o:title=""/>
                            <o:lock v:ext="edit" aspectratio="f"/>
                          </v:shape>
                        </v:group>
                        <v:shape id="AutoShape 3" o:spid="_x0000_s1026" o:spt="34" type="#_x0000_t34" style="position:absolute;left:7404;top:114873;height:3;width:591;rotation:5898240f;" filled="f" stroked="t" coordsize="21600,21600" o:gfxdata="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BDKea5AAAA3AAA&#10;AA8AAAAAAAAAAQAgAAAAIgAAAGRycy9kb3ducmV2LnhtbFBLAQIUABQAAAAIAIdO4kAzLwWeOwAA&#10;ADkAAAAQAAAAAAAAAAEAIAAAAAgBAABkcnMvc2hhcGV4bWwueG1sUEsFBgAAAAAGAAYAWwEAALID&#10;AAAAAA==&#10;" adj="10818">
                          <v:fill on="f" focussize="0,0"/>
                          <v:stroke weight="1.25pt" color="#000000" joinstyle="miter" endarrow="block"/>
                          <v:imagedata o:title=""/>
                          <o:lock v:ext="edit" aspectratio="f"/>
                        </v:shape>
                      </v:group>
                      <v:shape id="AutoShape 16" o:spid="_x0000_s1026" o:spt="34" type="#_x0000_t34" style="position:absolute;left:7028;top:111913;height:2;width:480;rotation:5898240f;" filled="f" stroked="t" coordsize="21600,21600" o:gfxdata="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5nPLm/&#10;AAAA3AAAAA8AAAAAAAAAAQAgAAAAIgAAAGRycy9kb3ducmV2LnhtbFBLAQIUABQAAAAIAIdO4kAz&#10;LwWeOwAAADkAAAAQAAAAAAAAAAEAIAAAAA4BAABkcnMvc2hhcGV4bWwueG1sUEsFBgAAAAAGAAYA&#10;WwEAALgDAAAAAA==&#10;" adj="10800">
                        <v:fill on="f" focussize="0,0"/>
                        <v:stroke color="#000000" joinstyle="miter" endarrow="block"/>
                        <v:imagedata o:title=""/>
                        <o:lock v:ext="edit" aspectratio="f"/>
                      </v:shape>
                    </v:group>
                    <v:shape id="AutoShape 34" o:spid="_x0000_s1026" o:spt="34" type="#_x0000_t34" style="position:absolute;left:13504;top:113830;height:2;width:1519;rotation:-5898240f;" filled="f" stroked="t" coordsize="21600,21600" o:gfxdata="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Ku637sAAADc&#10;AAAADwAAAAAAAAABACAAAAAiAAAAZHJzL2Rvd25yZXYueG1sUEsBAhQAFAAAAAgAh07iQDMvBZ47&#10;AAAAOQAAABAAAAAAAAAAAQAgAAAACgEAAGRycy9zaGFwZXhtbC54bWxQSwUGAAAAAAYABgBbAQAA&#10;tAMAAAAA&#10;" adj="10800">
                      <v:fill on="f" focussize="0,0"/>
                      <v:stroke color="#000000" joinstyle="miter" endarrow="block"/>
                      <v:imagedata o:title=""/>
                      <o:lock v:ext="edit" aspectratio="f"/>
                    </v:shape>
                  </v:group>
                  <v:shape id="AutoShape 36" o:spid="_x0000_s1026" o:spt="34" type="#_x0000_t34" style="position:absolute;left:7950;top:115682;flip:y;height:1;width:530;rotation:-5898240f;" filled="f" stroked="t" coordsize="21600,21600" o:gfxdata="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JbkBu/&#10;AAAA3AAAAA8AAAAAAAAAAQAgAAAAIgAAAGRycy9kb3ducmV2LnhtbFBLAQIUABQAAAAIAIdO4kAz&#10;LwWeOwAAADkAAAAQAAAAAAAAAAEAIAAAAA4BAABkcnMvc2hhcGV4bWwueG1sUEsFBgAAAAAGAAYA&#10;WwEAALgDAAAAAA==&#10;" adj="10780">
                    <v:fill on="f" focussize="0,0"/>
                    <v:stroke color="#000000" joinstyle="miter" endarrow="block"/>
                    <v:imagedata o:title=""/>
                    <o:lock v:ext="edit" aspectratio="f"/>
                  </v:shape>
                </v:group>
                <v:shape id="AutoShape 36" o:spid="_x0000_s1026" o:spt="34" type="#_x0000_t34" style="position:absolute;left:7947;top:114639;height:1;width:536;rotation:5898240f;" filled="f" stroked="t" coordsize="21600,21600" o:gfxdata="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n+nDugAAANwA&#10;AAAPAAAAAAAAAAEAIAAAACIAAABkcnMvZG93bnJldi54bWxQSwECFAAUAAAACACHTuJAMy8FnjsA&#10;AAA5AAAAEAAAAAAAAAABACAAAAAJAQAAZHJzL3NoYXBleG1sLnhtbFBLBQYAAAAABgAGAFsBAACz&#10;AwAAAAA=&#10;" adj="10780">
                  <v:fill on="f" focussize="0,0"/>
                  <v:stroke color="#000000" joinstyle="miter" endarrow="block"/>
                  <v:imagedata o:title=""/>
                  <o:lock v:ext="edit" aspectratio="f"/>
                </v:shape>
                <w10:wrap type="none"/>
                <w10:anchorlock/>
              </v:group>
            </w:pict>
          </mc:Fallback>
        </mc:AlternateContent>
      </w:r>
    </w:p>
    <w:p w14:paraId="044BF349">
      <w:pPr>
        <w:pStyle w:val="50"/>
        <w:spacing w:before="280" w:beforeLines="90" w:after="280" w:afterLines="90"/>
        <w:ind w:firstLine="0" w:firstLineChars="0"/>
        <w:rPr>
          <w:rFonts w:hint="eastAsia" w:ascii="宋体" w:hAnsi="宋体"/>
          <w:b/>
          <w:color w:val="auto"/>
          <w:sz w:val="24"/>
          <w:szCs w:val="24"/>
          <w:highlight w:val="none"/>
        </w:rPr>
      </w:pPr>
    </w:p>
    <w:p w14:paraId="3BB1070A">
      <w:pPr>
        <w:keepNext w:val="0"/>
        <w:keepLines w:val="0"/>
        <w:pageBreakBefore/>
        <w:widowControl w:val="0"/>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rPr>
        <w:t>2、自行和解案件处理流程图</w:t>
      </w:r>
    </w:p>
    <w:p w14:paraId="02105168">
      <w:pPr>
        <w:pStyle w:val="50"/>
        <w:spacing w:before="280" w:beforeLines="90" w:after="280" w:afterLines="90"/>
        <w:ind w:firstLine="0" w:firstLineChars="0"/>
        <w:jc w:val="center"/>
        <w:rPr>
          <w:rFonts w:ascii="宋体" w:hAnsi="宋体"/>
          <w:b/>
          <w:color w:val="auto"/>
          <w:sz w:val="24"/>
          <w:szCs w:val="24"/>
          <w:highlight w:val="none"/>
        </w:rPr>
      </w:pPr>
    </w:p>
    <w:p w14:paraId="581A555F">
      <w:pPr>
        <w:pStyle w:val="50"/>
        <w:spacing w:before="280" w:beforeLines="90" w:after="280" w:afterLines="90"/>
        <w:ind w:firstLine="0" w:firstLineChars="0"/>
        <w:jc w:val="center"/>
        <w:rPr>
          <w:rFonts w:ascii="宋体" w:hAnsi="宋体"/>
          <w:b/>
          <w:color w:val="auto"/>
          <w:sz w:val="24"/>
          <w:szCs w:val="24"/>
          <w:highlight w:val="none"/>
        </w:rPr>
      </w:pPr>
      <w:r>
        <w:rPr>
          <w:sz w:val="21"/>
        </w:rPr>
        <mc:AlternateContent>
          <mc:Choice Requires="wpg">
            <w:drawing>
              <wp:inline distT="0" distB="0" distL="114300" distR="114300">
                <wp:extent cx="4942840" cy="6567170"/>
                <wp:effectExtent l="15875" t="6350" r="13335" b="17780"/>
                <wp:docPr id="1" name="组合 1"/>
                <wp:cNvGraphicFramePr/>
                <a:graphic xmlns:a="http://schemas.openxmlformats.org/drawingml/2006/main">
                  <a:graphicData uri="http://schemas.microsoft.com/office/word/2010/wordprocessingGroup">
                    <wpg:wgp>
                      <wpg:cNvGrpSpPr/>
                      <wpg:grpSpPr>
                        <a:xfrm>
                          <a:off x="0" y="0"/>
                          <a:ext cx="4942840" cy="6567170"/>
                          <a:chOff x="5071" y="123482"/>
                          <a:chExt cx="7784" cy="10342"/>
                        </a:xfrm>
                      </wpg:grpSpPr>
                      <wpg:grpSp>
                        <wpg:cNvPr id="2" name="组合 249"/>
                        <wpg:cNvGrpSpPr/>
                        <wpg:grpSpPr>
                          <a:xfrm>
                            <a:off x="5071" y="123482"/>
                            <a:ext cx="7784" cy="10342"/>
                            <a:chOff x="5071" y="123482"/>
                            <a:chExt cx="7784" cy="10342"/>
                          </a:xfrm>
                        </wpg:grpSpPr>
                        <wpg:grpSp>
                          <wpg:cNvPr id="3" name="组合 248"/>
                          <wpg:cNvGrpSpPr/>
                          <wpg:grpSpPr>
                            <a:xfrm>
                              <a:off x="5071" y="123482"/>
                              <a:ext cx="7784" cy="10342"/>
                              <a:chOff x="5071" y="123482"/>
                              <a:chExt cx="7784" cy="10342"/>
                            </a:xfrm>
                          </wpg:grpSpPr>
                          <wpg:grpSp>
                            <wpg:cNvPr id="4" name="组合 245"/>
                            <wpg:cNvGrpSpPr/>
                            <wpg:grpSpPr>
                              <a:xfrm>
                                <a:off x="5071" y="123482"/>
                                <a:ext cx="7784" cy="10342"/>
                                <a:chOff x="4897" y="122412"/>
                                <a:chExt cx="7784" cy="10342"/>
                              </a:xfrm>
                            </wpg:grpSpPr>
                            <wpg:grpSp>
                              <wpg:cNvPr id="5" name="组合 243"/>
                              <wpg:cNvGrpSpPr/>
                              <wpg:grpSpPr>
                                <a:xfrm>
                                  <a:off x="4897" y="122412"/>
                                  <a:ext cx="7784" cy="10342"/>
                                  <a:chOff x="4283" y="123285"/>
                                  <a:chExt cx="7784" cy="10342"/>
                                </a:xfrm>
                              </wpg:grpSpPr>
                              <wpg:grpSp>
                                <wpg:cNvPr id="6" name="组合 236"/>
                                <wpg:cNvGrpSpPr/>
                                <wpg:grpSpPr>
                                  <a:xfrm>
                                    <a:off x="4283" y="123285"/>
                                    <a:ext cx="7784" cy="10342"/>
                                    <a:chOff x="2642" y="122049"/>
                                    <a:chExt cx="7784" cy="10342"/>
                                  </a:xfrm>
                                </wpg:grpSpPr>
                                <wps:wsp>
                                  <wps:cNvPr id="229" name="AutoShape 14"/>
                                  <wps:cNvCnPr>
                                    <a:stCxn id="138" idx="2"/>
                                    <a:endCxn id="134" idx="0"/>
                                  </wps:cNvCnPr>
                                  <wps:spPr>
                                    <a:xfrm rot="5400000">
                                      <a:off x="6747" y="130307"/>
                                      <a:ext cx="626" cy="1"/>
                                    </a:xfrm>
                                    <a:prstGeom prst="bentConnector3">
                                      <a:avLst>
                                        <a:gd name="adj1" fmla="val 49920"/>
                                      </a:avLst>
                                    </a:prstGeom>
                                    <a:ln w="9525" cap="flat" cmpd="sng">
                                      <a:solidFill>
                                        <a:srgbClr val="000000"/>
                                      </a:solidFill>
                                      <a:prstDash val="solid"/>
                                      <a:miter/>
                                      <a:headEnd type="none" w="med" len="med"/>
                                      <a:tailEnd type="triangle" w="med" len="med"/>
                                    </a:ln>
                                    <a:effectLst/>
                                  </wps:spPr>
                                  <wps:bodyPr/>
                                </wps:wsp>
                                <wpg:grpSp>
                                  <wpg:cNvPr id="7" name="组合 235"/>
                                  <wpg:cNvGrpSpPr/>
                                  <wpg:grpSpPr>
                                    <a:xfrm>
                                      <a:off x="2642" y="122049"/>
                                      <a:ext cx="7784" cy="10342"/>
                                      <a:chOff x="3670" y="122887"/>
                                      <a:chExt cx="7784" cy="10342"/>
                                    </a:xfrm>
                                  </wpg:grpSpPr>
                                  <wps:wsp>
                                    <wps:cNvPr id="231" name="AutoShape 14"/>
                                    <wps:cNvCnPr>
                                      <a:stCxn id="126" idx="2"/>
                                      <a:endCxn id="138" idx="0"/>
                                    </wps:cNvCnPr>
                                    <wps:spPr>
                                      <a:xfrm rot="5400000">
                                        <a:off x="7814" y="130045"/>
                                        <a:ext cx="551" cy="3"/>
                                      </a:xfrm>
                                      <a:prstGeom prst="bentConnector3">
                                        <a:avLst>
                                          <a:gd name="adj1" fmla="val 50091"/>
                                        </a:avLst>
                                      </a:prstGeom>
                                      <a:ln w="9525" cap="flat" cmpd="sng">
                                        <a:solidFill>
                                          <a:srgbClr val="000000"/>
                                        </a:solidFill>
                                        <a:prstDash val="solid"/>
                                        <a:miter/>
                                        <a:headEnd type="none" w="med" len="med"/>
                                        <a:tailEnd type="triangle" w="med" len="med"/>
                                      </a:ln>
                                      <a:effectLst/>
                                    </wps:spPr>
                                    <wps:bodyPr/>
                                  </wps:wsp>
                                  <wps:wsp>
                                    <wps:cNvPr id="232" name="AutoShape 14"/>
                                    <wps:cNvCnPr>
                                      <a:stCxn id="130" idx="3"/>
                                      <a:endCxn id="126" idx="0"/>
                                    </wps:cNvCnPr>
                                    <wps:spPr>
                                      <a:xfrm>
                                        <a:off x="7340" y="128606"/>
                                        <a:ext cx="751" cy="655"/>
                                      </a:xfrm>
                                      <a:prstGeom prst="bentConnector2">
                                        <a:avLst/>
                                      </a:prstGeom>
                                      <a:ln w="9525" cap="flat" cmpd="sng">
                                        <a:solidFill>
                                          <a:srgbClr val="000000"/>
                                        </a:solidFill>
                                        <a:prstDash val="solid"/>
                                        <a:miter/>
                                        <a:headEnd type="none" w="med" len="med"/>
                                        <a:tailEnd type="triangle" w="med" len="med"/>
                                      </a:ln>
                                      <a:effectLst/>
                                    </wps:spPr>
                                    <wps:bodyPr/>
                                  </wps:wsp>
                                  <wpg:grpSp>
                                    <wpg:cNvPr id="8" name="组合 234"/>
                                    <wpg:cNvGrpSpPr/>
                                    <wpg:grpSpPr>
                                      <a:xfrm>
                                        <a:off x="3670" y="122887"/>
                                        <a:ext cx="7784" cy="10342"/>
                                        <a:chOff x="4682" y="122550"/>
                                        <a:chExt cx="7784" cy="10342"/>
                                      </a:xfrm>
                                    </wpg:grpSpPr>
                                    <wpg:grpSp>
                                      <wpg:cNvPr id="9" name="组合 224"/>
                                      <wpg:cNvGrpSpPr/>
                                      <wpg:grpSpPr>
                                        <a:xfrm>
                                          <a:off x="4682" y="122550"/>
                                          <a:ext cx="7784" cy="10342"/>
                                          <a:chOff x="3187" y="121628"/>
                                          <a:chExt cx="7784" cy="10342"/>
                                        </a:xfrm>
                                      </wpg:grpSpPr>
                                      <wpg:grpSp>
                                        <wpg:cNvPr id="10" name="组合 223"/>
                                        <wpg:cNvGrpSpPr/>
                                        <wpg:grpSpPr>
                                          <a:xfrm>
                                            <a:off x="3187" y="121628"/>
                                            <a:ext cx="7784" cy="10342"/>
                                            <a:chOff x="3873" y="122232"/>
                                            <a:chExt cx="7784" cy="10342"/>
                                          </a:xfrm>
                                        </wpg:grpSpPr>
                                        <wps:wsp>
                                          <wps:cNvPr id="214" name="AutoShape 14"/>
                                          <wps:cNvCnPr>
                                            <a:stCxn id="114" idx="2"/>
                                            <a:endCxn id="131" idx="0"/>
                                          </wps:cNvCnPr>
                                          <wps:spPr>
                                            <a:xfrm rot="5400000" flipV="1">
                                              <a:off x="7078" y="122576"/>
                                              <a:ext cx="894" cy="1993"/>
                                            </a:xfrm>
                                            <a:prstGeom prst="bentConnector3">
                                              <a:avLst>
                                                <a:gd name="adj1" fmla="val 49944"/>
                                              </a:avLst>
                                            </a:prstGeom>
                                            <a:ln w="9525" cap="flat" cmpd="sng">
                                              <a:solidFill>
                                                <a:srgbClr val="000000"/>
                                              </a:solidFill>
                                              <a:prstDash val="solid"/>
                                              <a:miter/>
                                              <a:headEnd type="none" w="med" len="med"/>
                                              <a:tailEnd type="triangle" w="med" len="med"/>
                                            </a:ln>
                                            <a:effectLst/>
                                          </wps:spPr>
                                          <wps:bodyPr/>
                                        </wps:wsp>
                                        <wpg:grpSp>
                                          <wpg:cNvPr id="11" name="Group 41"/>
                                          <wpg:cNvGrpSpPr/>
                                          <wpg:grpSpPr>
                                            <a:xfrm rot="0">
                                              <a:off x="3873" y="122232"/>
                                              <a:ext cx="7784" cy="10342"/>
                                              <a:chOff x="-1270" y="-287655"/>
                                              <a:chExt cx="4942840" cy="6567170"/>
                                            </a:xfrm>
                                            <a:effectLst/>
                                          </wpg:grpSpPr>
                                          <wpg:grpSp>
                                            <wpg:cNvPr id="12" name="Group 42"/>
                                            <wpg:cNvGrpSpPr/>
                                            <wpg:grpSpPr>
                                              <a:xfrm>
                                                <a:off x="-1270" y="-287655"/>
                                                <a:ext cx="4942840" cy="6567170"/>
                                                <a:chOff x="-2" y="-453"/>
                                                <a:chExt cx="7784" cy="10342"/>
                                              </a:xfrm>
                                              <a:effectLst/>
                                            </wpg:grpSpPr>
                                            <wpg:grpSp>
                                              <wpg:cNvPr id="13" name="Group 43"/>
                                              <wpg:cNvGrpSpPr/>
                                              <wpg:grpSpPr>
                                                <a:xfrm>
                                                  <a:off x="-2" y="-453"/>
                                                  <a:ext cx="7784" cy="6908"/>
                                                  <a:chOff x="-17" y="-453"/>
                                                  <a:chExt cx="7784" cy="6908"/>
                                                </a:xfrm>
                                                <a:effectLst/>
                                              </wpg:grpSpPr>
                                              <wps:wsp>
                                                <wps:cNvPr id="112" name="AutoShape 14"/>
                                                <wps:cNvSpPr/>
                                                <wps:spPr>
                                                  <a:xfrm>
                                                    <a:off x="4427" y="-453"/>
                                                    <a:ext cx="3340" cy="1050"/>
                                                  </a:xfrm>
                                                  <a:prstGeom prst="flowChartProcess">
                                                    <a:avLst/>
                                                  </a:prstGeom>
                                                  <a:solidFill>
                                                    <a:srgbClr val="FFFFFF"/>
                                                  </a:solidFill>
                                                  <a:ln w="12700" cap="flat" cmpd="sng">
                                                    <a:solidFill>
                                                      <a:srgbClr val="000000"/>
                                                    </a:solidFill>
                                                    <a:prstDash val="dash"/>
                                                    <a:miter/>
                                                    <a:headEnd type="none" w="med" len="med"/>
                                                    <a:tailEnd type="none" w="med" len="med"/>
                                                  </a:ln>
                                                  <a:effectLst/>
                                                </wps:spPr>
                                                <wps:txbx>
                                                  <w:txbxContent>
                                                    <w:p w14:paraId="694D83C0">
                                                      <w:pPr>
                                                        <w:keepNext w:val="0"/>
                                                        <w:keepLines w:val="0"/>
                                                        <w:pageBreakBefore w:val="0"/>
                                                        <w:widowControl w:val="0"/>
                                                        <w:kinsoku/>
                                                        <w:wordWrap w:val="0"/>
                                                        <w:overflowPunct/>
                                                        <w:topLinePunct w:val="0"/>
                                                        <w:autoSpaceDE/>
                                                        <w:autoSpaceDN/>
                                                        <w:bidi w:val="0"/>
                                                        <w:adjustRightInd/>
                                                        <w:snapToGrid/>
                                                        <w:textAlignment w:val="auto"/>
                                                        <w:rPr>
                                                          <w:b/>
                                                        </w:rPr>
                                                      </w:pPr>
                                                      <w:r>
                                                        <w:rPr>
                                                          <w:rFonts w:hint="eastAsia"/>
                                                          <w:b/>
                                                        </w:rPr>
                                                        <w:t>报案内容：就诊时间、事件发生时间、大致诊疗过程、患者最终状态、投诉事件、患者诉求等</w:t>
                                                      </w:r>
                                                    </w:p>
                                                  </w:txbxContent>
                                                </wps:txbx>
                                                <wps:bodyPr vert="horz" lIns="46800" tIns="46800" rIns="46800" bIns="46800" anchor="ctr" anchorCtr="0" upright="1"/>
                                              </wps:wsp>
                                              <wpg:grpSp>
                                                <wpg:cNvPr id="14" name="Group 45"/>
                                                <wpg:cNvGrpSpPr/>
                                                <wpg:grpSpPr>
                                                  <a:xfrm>
                                                    <a:off x="-17" y="-59"/>
                                                    <a:ext cx="5568" cy="6514"/>
                                                    <a:chOff x="-17" y="-226"/>
                                                    <a:chExt cx="5568" cy="6514"/>
                                                  </a:xfrm>
                                                  <a:effectLst/>
                                                </wpg:grpSpPr>
                                                <wps:wsp>
                                                  <wps:cNvPr id="114" name="AutoShape 5"/>
                                                  <wps:cNvSpPr/>
                                                  <wps:spPr>
                                                    <a:xfrm>
                                                      <a:off x="1929" y="-226"/>
                                                      <a:ext cx="1417" cy="499"/>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26054A7B">
                                                        <w:pPr>
                                                          <w:keepNext w:val="0"/>
                                                          <w:keepLines w:val="0"/>
                                                          <w:pageBreakBefore w:val="0"/>
                                                          <w:widowControl w:val="0"/>
                                                          <w:kinsoku/>
                                                          <w:wordWrap/>
                                                          <w:overflowPunct/>
                                                          <w:topLinePunct w:val="0"/>
                                                          <w:autoSpaceDE/>
                                                          <w:autoSpaceDN/>
                                                          <w:bidi w:val="0"/>
                                                          <w:adjustRightInd/>
                                                          <w:snapToGrid/>
                                                          <w:jc w:val="center"/>
                                                          <w:textAlignment w:val="auto"/>
                                                        </w:pPr>
                                                        <w:r>
                                                          <w:rPr>
                                                            <w:rFonts w:hint="eastAsia"/>
                                                          </w:rPr>
                                                          <w:t>纠纷报案</w:t>
                                                        </w:r>
                                                      </w:p>
                                                    </w:txbxContent>
                                                  </wps:txbx>
                                                  <wps:bodyPr vert="horz" lIns="46800" tIns="46800" rIns="46800" bIns="46800" anchor="ctr" anchorCtr="0" upright="1"/>
                                                </wps:wsp>
                                                <wps:wsp>
                                                  <wps:cNvPr id="115" name="AutoShape 7"/>
                                                  <wps:cNvSpPr/>
                                                  <wps:spPr>
                                                    <a:xfrm>
                                                      <a:off x="817" y="2727"/>
                                                      <a:ext cx="3969" cy="1701"/>
                                                    </a:xfrm>
                                                    <a:prstGeom prst="flowChartProcess">
                                                      <a:avLst/>
                                                    </a:prstGeom>
                                                    <a:solidFill>
                                                      <a:srgbClr val="FFFFFF"/>
                                                    </a:solidFill>
                                                    <a:ln w="12700" cap="flat" cmpd="sng">
                                                      <a:solidFill>
                                                        <a:srgbClr val="000000"/>
                                                      </a:solidFill>
                                                      <a:prstDash val="dash"/>
                                                      <a:miter/>
                                                      <a:headEnd type="none" w="med" len="med"/>
                                                      <a:tailEnd type="none" w="med" len="med"/>
                                                    </a:ln>
                                                    <a:effectLst/>
                                                  </wps:spPr>
                                                  <wps:txbx>
                                                    <w:txbxContent>
                                                      <w:p w14:paraId="7496868B">
                                                        <w:pPr>
                                                          <w:rPr>
                                                            <w:b/>
                                                          </w:rPr>
                                                        </w:pPr>
                                                        <w:r>
                                                          <w:rPr>
                                                            <w:rFonts w:hint="eastAsia"/>
                                                            <w:b/>
                                                          </w:rPr>
                                                          <w:t>会诊要求：是否存在过错及过错类型？</w:t>
                                                        </w:r>
                                                      </w:p>
                                                      <w:p w14:paraId="2F8BD569">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是否违反诊疗常规？</w:t>
                                                        </w:r>
                                                      </w:p>
                                                      <w:p w14:paraId="508DD784">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损害金额？</w:t>
                                                        </w:r>
                                                      </w:p>
                                                      <w:p w14:paraId="2D1575DC">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在权限内处理</w:t>
                                                        </w:r>
                                                      </w:p>
                                                      <w:p w14:paraId="09BBB552">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核对资料完整</w:t>
                                                        </w:r>
                                                      </w:p>
                                                    </w:txbxContent>
                                                  </wps:txbx>
                                                  <wps:bodyPr vert="horz" lIns="46800" tIns="46800" rIns="46800" bIns="46800" anchor="ctr" anchorCtr="0" upright="1"/>
                                                </wps:wsp>
                                                <wps:wsp>
                                                  <wps:cNvPr id="117" name="AutoShape 118"/>
                                                  <wps:cNvSpPr/>
                                                  <wps:spPr>
                                                    <a:xfrm>
                                                      <a:off x="-17" y="1165"/>
                                                      <a:ext cx="1848" cy="499"/>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4C619A95">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广东和谐医调委</w:t>
                                                        </w:r>
                                                      </w:p>
                                                    </w:txbxContent>
                                                  </wps:txbx>
                                                  <wps:bodyPr vert="horz" lIns="46800" tIns="46800" rIns="46800" bIns="46800" anchor="ctr" anchorCtr="0" upright="1"/>
                                                </wps:wsp>
                                                <wps:wsp>
                                                  <wps:cNvPr id="125" name="AutoShape 124"/>
                                                  <wps:cNvSpPr/>
                                                  <wps:spPr>
                                                    <a:xfrm>
                                                      <a:off x="2092" y="1846"/>
                                                      <a:ext cx="1417" cy="499"/>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6401EE92">
                                                        <w:pPr>
                                                          <w:jc w:val="center"/>
                                                        </w:pPr>
                                                        <w:r>
                                                          <w:rPr>
                                                            <w:rFonts w:hint="eastAsia"/>
                                                          </w:rPr>
                                                          <w:t>医院会诊</w:t>
                                                        </w:r>
                                                      </w:p>
                                                    </w:txbxContent>
                                                  </wps:txbx>
                                                  <wps:bodyPr vert="horz" lIns="46800" tIns="46800" rIns="46800" bIns="46800" anchor="ctr" anchorCtr="0" upright="1"/>
                                                </wps:wsp>
                                                <wps:wsp>
                                                  <wps:cNvPr id="126" name="AutoShape 125"/>
                                                  <wps:cNvSpPr/>
                                                  <wps:spPr>
                                                    <a:xfrm>
                                                      <a:off x="3497" y="5754"/>
                                                      <a:ext cx="1814"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6A2A7AF5">
                                                        <w:pPr>
                                                          <w:jc w:val="center"/>
                                                        </w:pPr>
                                                        <w:r>
                                                          <w:rPr>
                                                            <w:rFonts w:hint="eastAsia"/>
                                                          </w:rPr>
                                                          <w:t>患方不同意</w:t>
                                                        </w:r>
                                                      </w:p>
                                                    </w:txbxContent>
                                                  </wps:txbx>
                                                  <wps:bodyPr vert="horz" lIns="46800" tIns="46800" rIns="46800" bIns="46800" anchor="ctr" anchorCtr="0" upright="1"/>
                                                </wps:wsp>
                                                <wps:wsp>
                                                  <wps:cNvPr id="127" name="AutoShape 126"/>
                                                  <wps:cNvSpPr/>
                                                  <wps:spPr>
                                                    <a:xfrm>
                                                      <a:off x="121" y="5778"/>
                                                      <a:ext cx="1701"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6777BA5D">
                                                        <w:pPr>
                                                          <w:jc w:val="center"/>
                                                        </w:pPr>
                                                        <w:r>
                                                          <w:rPr>
                                                            <w:rFonts w:hint="eastAsia"/>
                                                          </w:rPr>
                                                          <w:t>患方同意</w:t>
                                                        </w:r>
                                                      </w:p>
                                                    </w:txbxContent>
                                                  </wps:txbx>
                                                  <wps:bodyPr vert="horz" lIns="46800" tIns="46800" rIns="46800" bIns="46800" anchor="ctr" anchorCtr="0" upright="1"/>
                                                </wps:wsp>
                                                <wps:wsp>
                                                  <wps:cNvPr id="130" name="AutoShape 8"/>
                                                  <wps:cNvSpPr/>
                                                  <wps:spPr>
                                                    <a:xfrm>
                                                      <a:off x="1952" y="4844"/>
                                                      <a:ext cx="1701"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58262AA0">
                                                        <w:pPr>
                                                          <w:jc w:val="center"/>
                                                        </w:pPr>
                                                        <w:r>
                                                          <w:rPr>
                                                            <w:rFonts w:hint="eastAsia"/>
                                                          </w:rPr>
                                                          <w:t>进入和解流程</w:t>
                                                        </w:r>
                                                      </w:p>
                                                    </w:txbxContent>
                                                  </wps:txbx>
                                                  <wps:bodyPr vert="horz" lIns="46800" tIns="46800" rIns="46800" bIns="46800" anchor="ctr" anchorCtr="0" upright="1"/>
                                                </wps:wsp>
                                                <wps:wsp>
                                                  <wps:cNvPr id="131" name="AutoShape 119"/>
                                                  <wps:cNvSpPr/>
                                                  <wps:spPr>
                                                    <a:xfrm>
                                                      <a:off x="3527" y="1167"/>
                                                      <a:ext cx="2024" cy="499"/>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3FD0ACE1">
                                                        <w:pPr>
                                                          <w:keepNext w:val="0"/>
                                                          <w:keepLines w:val="0"/>
                                                          <w:pageBreakBefore w:val="0"/>
                                                          <w:widowControl w:val="0"/>
                                                          <w:kinsoku/>
                                                          <w:wordWrap/>
                                                          <w:overflowPunct/>
                                                          <w:topLinePunct w:val="0"/>
                                                          <w:autoSpaceDE/>
                                                          <w:autoSpaceDN/>
                                                          <w:bidi w:val="0"/>
                                                          <w:adjustRightInd/>
                                                          <w:snapToGrid/>
                                                          <w:jc w:val="center"/>
                                                          <w:textAlignment w:val="auto"/>
                                                        </w:pPr>
                                                        <w:r>
                                                          <w:rPr>
                                                            <w:rFonts w:hint="eastAsia"/>
                                                          </w:rPr>
                                                          <w:t>保险经纪公司</w:t>
                                                        </w:r>
                                                      </w:p>
                                                    </w:txbxContent>
                                                  </wps:txbx>
                                                  <wps:bodyPr vert="horz" lIns="46800" tIns="46800" rIns="46800" bIns="46800" anchor="ctr" anchorCtr="0" upright="1"/>
                                                </wps:wsp>
                                              </wpg:grpSp>
                                            </wpg:grpSp>
                                            <wps:wsp>
                                              <wps:cNvPr id="132" name="AutoShape 132"/>
                                              <wps:cNvSpPr/>
                                              <wps:spPr>
                                                <a:xfrm>
                                                  <a:off x="140" y="9311"/>
                                                  <a:ext cx="1701"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0A176914">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支付给患方</w:t>
                                                    </w:r>
                                                  </w:p>
                                                </w:txbxContent>
                                              </wps:txbx>
                                              <wps:bodyPr vert="horz" lIns="46800" tIns="46800" rIns="46800" bIns="46800" anchor="ctr" anchorCtr="0" upright="1"/>
                                            </wps:wsp>
                                            <wps:wsp>
                                              <wps:cNvPr id="133" name="AutoShape 135"/>
                                              <wps:cNvSpPr/>
                                              <wps:spPr>
                                                <a:xfrm>
                                                  <a:off x="3568" y="9379"/>
                                                  <a:ext cx="1701"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001821E8">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或支付给医院</w:t>
                                                    </w:r>
                                                  </w:p>
                                                </w:txbxContent>
                                              </wps:txbx>
                                              <wps:bodyPr vert="horz" lIns="46800" tIns="46800" rIns="46800" bIns="46800" anchor="ctr" anchorCtr="0" upright="1"/>
                                            </wps:wsp>
                                            <wps:wsp>
                                              <wps:cNvPr id="134" name="AutoShape 155"/>
                                              <wps:cNvSpPr/>
                                              <wps:spPr>
                                                <a:xfrm>
                                                  <a:off x="3451" y="8118"/>
                                                  <a:ext cx="1928"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0B41A5EB">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医患双方接受</w:t>
                                                    </w:r>
                                                  </w:p>
                                                </w:txbxContent>
                                              </wps:txbx>
                                              <wps:bodyPr vert="horz" lIns="46800" tIns="46800" rIns="46800" bIns="46800" anchor="ctr" anchorCtr="0" upright="1"/>
                                            </wps:wsp>
                                            <wps:wsp>
                                              <wps:cNvPr id="135" name="AutoShape 158"/>
                                              <wps:cNvSpPr/>
                                              <wps:spPr>
                                                <a:xfrm>
                                                  <a:off x="139" y="8167"/>
                                                  <a:ext cx="1701" cy="510"/>
                                                </a:xfrm>
                                                <a:prstGeom prst="flowChartProcess">
                                                  <a:avLst/>
                                                </a:prstGeom>
                                                <a:solidFill>
                                                  <a:srgbClr val="FFFFFF"/>
                                                </a:solidFill>
                                                <a:ln w="12700" cap="flat" cmpd="sng">
                                                  <a:solidFill>
                                                    <a:srgbClr val="000000"/>
                                                  </a:solidFill>
                                                  <a:prstDash val="dash"/>
                                                  <a:miter/>
                                                  <a:headEnd type="none" w="med" len="med"/>
                                                  <a:tailEnd type="none" w="med" len="med"/>
                                                </a:ln>
                                                <a:effectLst/>
                                              </wps:spPr>
                                              <wps:txbx>
                                                <w:txbxContent>
                                                  <w:p w14:paraId="565F78A3">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b/>
                                                      </w:rPr>
                                                    </w:pPr>
                                                    <w:r>
                                                      <w:rPr>
                                                        <w:rFonts w:hint="eastAsia"/>
                                                        <w:b/>
                                                      </w:rPr>
                                                      <w:t>认定保险责任</w:t>
                                                    </w:r>
                                                  </w:p>
                                                </w:txbxContent>
                                              </wps:txbx>
                                              <wps:bodyPr vert="horz" lIns="46800" tIns="46800" rIns="46800" bIns="46800" anchor="ctr" anchorCtr="0" upright="1"/>
                                            </wps:wsp>
                                            <wps:wsp>
                                              <wps:cNvPr id="137" name="AutoShape 131"/>
                                              <wps:cNvSpPr/>
                                              <wps:spPr>
                                                <a:xfrm>
                                                  <a:off x="70" y="7096"/>
                                                  <a:ext cx="1836" cy="510"/>
                                                </a:xfrm>
                                                <a:prstGeom prst="flowChartProcess">
                                                  <a:avLst/>
                                                </a:prstGeom>
                                                <a:solidFill>
                                                  <a:srgbClr val="FFFFFF"/>
                                                </a:solidFill>
                                                <a:ln w="31750" cap="flat" cmpd="sng">
                                                  <a:solidFill>
                                                    <a:srgbClr val="000000"/>
                                                  </a:solidFill>
                                                  <a:prstDash val="solid"/>
                                                  <a:miter/>
                                                  <a:headEnd type="none" w="med" len="med"/>
                                                  <a:tailEnd type="none" w="med" len="med"/>
                                                </a:ln>
                                                <a:effectLst/>
                                              </wps:spPr>
                                              <wps:txbx>
                                                <w:txbxContent>
                                                  <w:p w14:paraId="38A4558F">
                                                    <w:pPr>
                                                      <w:jc w:val="center"/>
                                                    </w:pPr>
                                                    <w:r>
                                                      <w:rPr>
                                                        <w:rFonts w:hint="eastAsia"/>
                                                      </w:rPr>
                                                      <w:t>提交保险人索赔</w:t>
                                                    </w:r>
                                                  </w:p>
                                                </w:txbxContent>
                                              </wps:txbx>
                                              <wps:bodyPr vert="horz" lIns="46800" tIns="46800" rIns="46800" bIns="46800" anchor="ctr" anchorCtr="0" upright="1"/>
                                            </wps:wsp>
                                            <wps:wsp>
                                              <wps:cNvPr id="138" name="AutoShape 137"/>
                                              <wps:cNvSpPr/>
                                              <wps:spPr>
                                                <a:xfrm>
                                                  <a:off x="3565" y="6982"/>
                                                  <a:ext cx="1701" cy="510"/>
                                                </a:xfrm>
                                                <a:prstGeom prst="flowChartProcess">
                                                  <a:avLst/>
                                                </a:prstGeom>
                                                <a:solidFill>
                                                  <a:srgbClr val="FFFFFF"/>
                                                </a:solidFill>
                                                <a:ln w="12700" cap="flat" cmpd="sng">
                                                  <a:solidFill>
                                                    <a:srgbClr val="000000"/>
                                                  </a:solidFill>
                                                  <a:prstDash val="dash"/>
                                                  <a:miter/>
                                                  <a:headEnd type="none" w="med" len="med"/>
                                                  <a:tailEnd type="none" w="med" len="med"/>
                                                </a:ln>
                                                <a:effectLst/>
                                              </wps:spPr>
                                              <wps:txbx>
                                                <w:txbxContent>
                                                  <w:p w14:paraId="7AB9E165">
                                                    <w:pPr>
                                                      <w:keepNext w:val="0"/>
                                                      <w:keepLines w:val="0"/>
                                                      <w:pageBreakBefore w:val="0"/>
                                                      <w:widowControl w:val="0"/>
                                                      <w:kinsoku/>
                                                      <w:wordWrap w:val="0"/>
                                                      <w:overflowPunct/>
                                                      <w:topLinePunct w:val="0"/>
                                                      <w:autoSpaceDE/>
                                                      <w:autoSpaceDN/>
                                                      <w:bidi w:val="0"/>
                                                      <w:adjustRightInd/>
                                                      <w:snapToGrid/>
                                                      <w:jc w:val="center"/>
                                                      <w:textAlignment w:val="auto"/>
                                                      <w:rPr>
                                                        <w:b/>
                                                      </w:rPr>
                                                    </w:pPr>
                                                    <w:r>
                                                      <w:rPr>
                                                        <w:rFonts w:hint="eastAsia"/>
                                                        <w:b/>
                                                      </w:rPr>
                                                      <w:t>引导申请调解</w:t>
                                                    </w:r>
                                                  </w:p>
                                                </w:txbxContent>
                                              </wps:txbx>
                                              <wps:bodyPr vert="horz" lIns="46800" tIns="46800" rIns="46800" bIns="46800" anchor="ctr" anchorCtr="0" upright="1"/>
                                            </wps:wsp>
                                          </wpg:grpSp>
                                          <wps:wsp>
                                            <wps:cNvPr id="143" name="五边形 3"/>
                                            <wps:cNvSpPr/>
                                            <wps:spPr>
                                              <a:xfrm>
                                                <a:off x="3971925" y="5075555"/>
                                                <a:ext cx="935990" cy="484505"/>
                                              </a:xfrm>
                                              <a:prstGeom prst="homePlate">
                                                <a:avLst>
                                                  <a:gd name="adj" fmla="val 50000"/>
                                                </a:avLst>
                                              </a:prstGeom>
                                              <a:solidFill>
                                                <a:srgbClr val="6D6D6D"/>
                                              </a:solidFill>
                                              <a:ln w="25400" cap="flat" cmpd="sng">
                                                <a:solidFill>
                                                  <a:srgbClr val="4395D1"/>
                                                </a:solidFill>
                                                <a:prstDash val="solid"/>
                                                <a:miter/>
                                                <a:headEnd type="none" w="med" len="med"/>
                                                <a:tailEnd type="none" w="med" len="med"/>
                                              </a:ln>
                                              <a:effectLst/>
                                            </wps:spPr>
                                            <wps:txbx>
                                              <w:txbxContent>
                                                <w:p w14:paraId="5C2B83B3">
                                                  <w:pPr>
                                                    <w:keepNext w:val="0"/>
                                                    <w:keepLines w:val="0"/>
                                                    <w:pageBreakBefore w:val="0"/>
                                                    <w:widowControl w:val="0"/>
                                                    <w:kinsoku/>
                                                    <w:wordWrap w:val="0"/>
                                                    <w:overflowPunct/>
                                                    <w:topLinePunct w:val="0"/>
                                                    <w:autoSpaceDE/>
                                                    <w:autoSpaceDN/>
                                                    <w:bidi w:val="0"/>
                                                    <w:adjustRightInd/>
                                                    <w:snapToGrid/>
                                                    <w:jc w:val="center"/>
                                                    <w:textAlignment w:val="auto"/>
                                                    <w:rPr>
                                                      <w:rFonts w:hint="eastAsia"/>
                                                      <w:color w:val="000000"/>
                                                    </w:rPr>
                                                  </w:pPr>
                                                  <w:r>
                                                    <w:rPr>
                                                      <w:rFonts w:hint="eastAsia"/>
                                                      <w:color w:val="000000"/>
                                                    </w:rPr>
                                                    <w:t>进入</w:t>
                                                  </w:r>
                                                </w:p>
                                                <w:p w14:paraId="7FF5E31B">
                                                  <w:pPr>
                                                    <w:keepNext w:val="0"/>
                                                    <w:keepLines w:val="0"/>
                                                    <w:pageBreakBefore w:val="0"/>
                                                    <w:widowControl w:val="0"/>
                                                    <w:kinsoku/>
                                                    <w:wordWrap w:val="0"/>
                                                    <w:overflowPunct/>
                                                    <w:topLinePunct w:val="0"/>
                                                    <w:autoSpaceDE/>
                                                    <w:autoSpaceDN/>
                                                    <w:bidi w:val="0"/>
                                                    <w:adjustRightInd/>
                                                    <w:snapToGrid/>
                                                    <w:jc w:val="center"/>
                                                    <w:textAlignment w:val="auto"/>
                                                    <w:rPr>
                                                      <w:color w:val="000000"/>
                                                    </w:rPr>
                                                  </w:pPr>
                                                  <w:r>
                                                    <w:rPr>
                                                      <w:rFonts w:hint="eastAsia"/>
                                                      <w:color w:val="000000"/>
                                                    </w:rPr>
                                                    <w:t>调解程序</w:t>
                                                  </w:r>
                                                </w:p>
                                              </w:txbxContent>
                                            </wps:txbx>
                                            <wps:bodyPr vert="horz" lIns="46800" tIns="46800" rIns="46800" bIns="46800" anchor="ctr" anchorCtr="0" upright="1"/>
                                          </wps:wsp>
                                          <wps:wsp>
                                            <wps:cNvPr id="144" name="五边形 4"/>
                                            <wps:cNvSpPr/>
                                            <wps:spPr>
                                              <a:xfrm>
                                                <a:off x="3952240" y="3679825"/>
                                                <a:ext cx="935990" cy="484505"/>
                                              </a:xfrm>
                                              <a:prstGeom prst="homePlate">
                                                <a:avLst>
                                                  <a:gd name="adj" fmla="val 50004"/>
                                                </a:avLst>
                                              </a:prstGeom>
                                              <a:solidFill>
                                                <a:srgbClr val="6D6D6D"/>
                                              </a:solidFill>
                                              <a:ln w="25400" cap="flat" cmpd="sng">
                                                <a:solidFill>
                                                  <a:srgbClr val="4395D1"/>
                                                </a:solidFill>
                                                <a:prstDash val="solid"/>
                                                <a:miter/>
                                                <a:headEnd type="none" w="med" len="med"/>
                                                <a:tailEnd type="none" w="med" len="med"/>
                                              </a:ln>
                                              <a:effectLst/>
                                            </wps:spPr>
                                            <wps:txbx>
                                              <w:txbxContent>
                                                <w:p w14:paraId="572C9C09">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color w:val="000000"/>
                                                    </w:rPr>
                                                  </w:pPr>
                                                  <w:r>
                                                    <w:rPr>
                                                      <w:rFonts w:hint="eastAsia"/>
                                                      <w:color w:val="000000"/>
                                                    </w:rPr>
                                                    <w:t>引导</w:t>
                                                  </w:r>
                                                </w:p>
                                                <w:p w14:paraId="45F09E46">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color w:val="000000"/>
                                                    </w:rPr>
                                                    <w:t>走</w:t>
                                                  </w:r>
                                                  <w:r>
                                                    <w:rPr>
                                                      <w:rFonts w:hint="eastAsia"/>
                                                    </w:rPr>
                                                    <w:t>诉讼</w:t>
                                                  </w:r>
                                                </w:p>
                                                <w:p w14:paraId="557B1A8A">
                                                  <w:pPr>
                                                    <w:ind w:firstLine="105" w:firstLineChars="50"/>
                                                  </w:pPr>
                                                  <w:r>
                                                    <w:rPr>
                                                      <w:rFonts w:hint="eastAsia"/>
                                                    </w:rPr>
                                                    <w:t>导走诉讼</w:t>
                                                  </w:r>
                                                </w:p>
                                                <w:p w14:paraId="0F2FCA8B">
                                                  <w:pPr>
                                                    <w:ind w:firstLine="105" w:firstLineChars="50"/>
                                                    <w:jc w:val="center"/>
                                                  </w:pPr>
                                                  <w:r>
                                                    <w:rPr>
                                                      <w:rFonts w:hint="eastAsia"/>
                                                    </w:rPr>
                                                    <w:t>讼</w:t>
                                                  </w:r>
                                                </w:p>
                                                <w:p w14:paraId="7B3D77FE">
                                                  <w:pPr>
                                                    <w:pStyle w:val="22"/>
                                                    <w:jc w:val="center"/>
                                                  </w:pPr>
                                                  <w:r>
                                                    <w:rPr>
                                                      <w:rFonts w:hint="eastAsia"/>
                                                      <w:szCs w:val="21"/>
                                                    </w:rPr>
                                                    <w:t>走司法诉讼</w:t>
                                                  </w:r>
                                                </w:p>
                                              </w:txbxContent>
                                            </wps:txbx>
                                            <wps:bodyPr vert="horz" lIns="46800" tIns="46800" rIns="46800" bIns="46800" anchor="ctr" anchorCtr="0" upright="1"/>
                                          </wps:wsp>
                                        </wpg:grpSp>
                                        <wps:wsp>
                                          <wps:cNvPr id="218" name="AutoShape 14"/>
                                          <wps:cNvCnPr>
                                            <a:stCxn id="114" idx="2"/>
                                            <a:endCxn id="117" idx="0"/>
                                          </wps:cNvCnPr>
                                          <wps:spPr>
                                            <a:xfrm rot="5400000">
                                              <a:off x="5217" y="122706"/>
                                              <a:ext cx="892" cy="1731"/>
                                            </a:xfrm>
                                            <a:prstGeom prst="bentConnector3">
                                              <a:avLst>
                                                <a:gd name="adj1" fmla="val 49944"/>
                                              </a:avLst>
                                            </a:prstGeom>
                                            <a:ln w="9525" cap="flat" cmpd="sng">
                                              <a:solidFill>
                                                <a:srgbClr val="000000"/>
                                              </a:solidFill>
                                              <a:prstDash val="solid"/>
                                              <a:miter/>
                                              <a:headEnd type="none" w="med" len="med"/>
                                              <a:tailEnd type="triangle" w="med" len="med"/>
                                            </a:ln>
                                            <a:effectLst/>
                                          </wps:spPr>
                                          <wps:bodyPr/>
                                        </wps:wsp>
                                      </wpg:grpSp>
                                      <wps:wsp>
                                        <wps:cNvPr id="219" name="AutoShape 14"/>
                                        <wps:cNvCnPr>
                                          <a:stCxn id="117" idx="3"/>
                                          <a:endCxn id="131" idx="1"/>
                                        </wps:cNvCnPr>
                                        <wps:spPr>
                                          <a:xfrm>
                                            <a:off x="5035" y="123663"/>
                                            <a:ext cx="1696" cy="5"/>
                                          </a:xfrm>
                                          <a:prstGeom prst="bentConnector3">
                                            <a:avLst>
                                              <a:gd name="adj1" fmla="val 50000"/>
                                            </a:avLst>
                                          </a:prstGeom>
                                          <a:ln w="9525" cap="flat" cmpd="sng">
                                            <a:solidFill>
                                              <a:srgbClr val="000000"/>
                                            </a:solidFill>
                                            <a:prstDash val="solid"/>
                                            <a:miter/>
                                            <a:headEnd type="none" w="med" len="med"/>
                                            <a:tailEnd type="triangle" w="med" len="med"/>
                                          </a:ln>
                                          <a:effectLst/>
                                        </wps:spPr>
                                        <wps:bodyPr/>
                                      </wps:wsp>
                                      <wps:wsp>
                                        <wps:cNvPr id="220" name="AutoShape 14"/>
                                        <wps:cNvCnPr>
                                          <a:stCxn id="117" idx="2"/>
                                          <a:endCxn id="125" idx="1"/>
                                        </wps:cNvCnPr>
                                        <wps:spPr>
                                          <a:xfrm rot="5400000" flipV="1">
                                            <a:off x="4488" y="123536"/>
                                            <a:ext cx="432" cy="1185"/>
                                          </a:xfrm>
                                          <a:prstGeom prst="bentConnector2">
                                            <a:avLst/>
                                          </a:prstGeom>
                                          <a:ln w="9525" cap="flat" cmpd="sng">
                                            <a:solidFill>
                                              <a:srgbClr val="000000"/>
                                            </a:solidFill>
                                            <a:prstDash val="solid"/>
                                            <a:miter/>
                                            <a:headEnd type="none" w="med" len="med"/>
                                            <a:tailEnd type="triangle" w="med" len="med"/>
                                          </a:ln>
                                          <a:effectLst/>
                                        </wps:spPr>
                                        <wps:bodyPr/>
                                      </wps:wsp>
                                      <wps:wsp>
                                        <wps:cNvPr id="221" name="AutoShape 14"/>
                                        <wps:cNvCnPr>
                                          <a:stCxn id="125" idx="2"/>
                                          <a:endCxn id="115" idx="0"/>
                                        </wps:cNvCnPr>
                                        <wps:spPr>
                                          <a:xfrm rot="5400000" flipV="1">
                                            <a:off x="5815" y="124784"/>
                                            <a:ext cx="382" cy="1"/>
                                          </a:xfrm>
                                          <a:prstGeom prst="bentConnector3">
                                            <a:avLst>
                                              <a:gd name="adj1" fmla="val 49869"/>
                                            </a:avLst>
                                          </a:prstGeom>
                                          <a:ln w="9525" cap="flat" cmpd="sng">
                                            <a:solidFill>
                                              <a:srgbClr val="000000"/>
                                            </a:solidFill>
                                            <a:prstDash val="solid"/>
                                            <a:miter/>
                                            <a:headEnd type="none" w="med" len="med"/>
                                            <a:tailEnd type="triangle" w="med" len="med"/>
                                          </a:ln>
                                          <a:effectLst/>
                                        </wps:spPr>
                                        <wps:bodyPr/>
                                      </wps:wsp>
                                      <wps:wsp>
                                        <wps:cNvPr id="222" name="AutoShape 14"/>
                                        <wps:cNvCnPr>
                                          <a:stCxn id="115" idx="2"/>
                                          <a:endCxn id="130" idx="0"/>
                                        </wps:cNvCnPr>
                                        <wps:spPr>
                                          <a:xfrm rot="5400000" flipV="1">
                                            <a:off x="5799" y="126884"/>
                                            <a:ext cx="416" cy="1"/>
                                          </a:xfrm>
                                          <a:prstGeom prst="bentConnector3">
                                            <a:avLst>
                                              <a:gd name="adj1" fmla="val 49880"/>
                                            </a:avLst>
                                          </a:prstGeom>
                                          <a:ln w="9525" cap="flat" cmpd="sng">
                                            <a:solidFill>
                                              <a:srgbClr val="000000"/>
                                            </a:solidFill>
                                            <a:prstDash val="solid"/>
                                            <a:miter/>
                                            <a:headEnd type="none" w="med" len="med"/>
                                            <a:tailEnd type="triangle" w="med" len="med"/>
                                          </a:ln>
                                          <a:effectLst/>
                                        </wps:spPr>
                                        <wps:bodyPr/>
                                      </wps:wsp>
                                    </wpg:grpSp>
                                    <wps:wsp>
                                      <wps:cNvPr id="233" name="AutoShape 14"/>
                                      <wps:cNvCnPr>
                                        <a:stCxn id="130" idx="1"/>
                                        <a:endCxn id="127" idx="0"/>
                                      </wps:cNvCnPr>
                                      <wps:spPr>
                                        <a:xfrm rot="10800000" flipV="1">
                                          <a:off x="5671" y="128269"/>
                                          <a:ext cx="980" cy="672"/>
                                        </a:xfrm>
                                        <a:prstGeom prst="bentConnector2">
                                          <a:avLst/>
                                        </a:prstGeom>
                                        <a:ln w="9525" cap="flat" cmpd="sng">
                                          <a:solidFill>
                                            <a:srgbClr val="000000"/>
                                          </a:solidFill>
                                          <a:prstDash val="solid"/>
                                          <a:miter/>
                                          <a:headEnd type="none" w="med" len="med"/>
                                          <a:tailEnd type="triangle" w="med" len="med"/>
                                        </a:ln>
                                        <a:effectLst/>
                                      </wps:spPr>
                                      <wps:bodyPr/>
                                    </wps:wsp>
                                  </wpg:grpSp>
                                </wpg:grpSp>
                              </wpg:grpSp>
                              <wps:wsp>
                                <wps:cNvPr id="240" name="AutoShape 14"/>
                                <wps:cNvCnPr>
                                  <a:stCxn id="126" idx="3"/>
                                  <a:endCxn id="144" idx="1"/>
                                </wps:cNvCnPr>
                                <wps:spPr>
                                  <a:xfrm>
                                    <a:off x="9611" y="129914"/>
                                    <a:ext cx="898" cy="1"/>
                                  </a:xfrm>
                                  <a:prstGeom prst="bentConnector3">
                                    <a:avLst>
                                      <a:gd name="adj1" fmla="val 50000"/>
                                    </a:avLst>
                                  </a:prstGeom>
                                  <a:ln w="9525" cap="flat" cmpd="sng">
                                    <a:solidFill>
                                      <a:srgbClr val="000000"/>
                                    </a:solidFill>
                                    <a:prstDash val="solid"/>
                                    <a:miter/>
                                    <a:headEnd type="none" w="med" len="med"/>
                                    <a:tailEnd type="triangle" w="med" len="med"/>
                                  </a:ln>
                                  <a:effectLst/>
                                </wps:spPr>
                                <wps:bodyPr/>
                              </wps:wsp>
                              <wps:wsp>
                                <wps:cNvPr id="241" name="AutoShape 14"/>
                                <wps:cNvCnPr>
                                  <a:stCxn id="135" idx="2"/>
                                  <a:endCxn id="133" idx="0"/>
                                </wps:cNvCnPr>
                                <wps:spPr>
                                  <a:xfrm rot="5400000" flipV="1">
                                    <a:off x="6639" y="131052"/>
                                    <a:ext cx="702" cy="3429"/>
                                  </a:xfrm>
                                  <a:prstGeom prst="bentConnector3">
                                    <a:avLst>
                                      <a:gd name="adj1" fmla="val 49929"/>
                                    </a:avLst>
                                  </a:prstGeom>
                                  <a:ln w="9525" cap="flat" cmpd="sng">
                                    <a:solidFill>
                                      <a:srgbClr val="000000"/>
                                    </a:solidFill>
                                    <a:prstDash val="solid"/>
                                    <a:miter/>
                                    <a:headEnd type="none" w="med" len="med"/>
                                    <a:tailEnd type="triangle" w="med" len="med"/>
                                  </a:ln>
                                  <a:effectLst/>
                                </wps:spPr>
                                <wps:bodyPr/>
                              </wps:wsp>
                              <wps:wsp>
                                <wps:cNvPr id="242" name="AutoShape 14"/>
                                <wps:cNvCnPr>
                                  <a:stCxn id="134" idx="1"/>
                                  <a:endCxn id="127" idx="3"/>
                                </wps:cNvCnPr>
                                <wps:spPr>
                                  <a:xfrm rot="10800000">
                                    <a:off x="6122" y="129938"/>
                                    <a:ext cx="1614" cy="2173"/>
                                  </a:xfrm>
                                  <a:prstGeom prst="bentConnector3">
                                    <a:avLst>
                                      <a:gd name="adj1" fmla="val 50000"/>
                                    </a:avLst>
                                  </a:prstGeom>
                                  <a:ln w="9525" cap="flat" cmpd="sng">
                                    <a:solidFill>
                                      <a:srgbClr val="000000"/>
                                    </a:solidFill>
                                    <a:prstDash val="solid"/>
                                    <a:miter/>
                                    <a:headEnd type="none" w="med" len="med"/>
                                    <a:tailEnd type="triangle" w="med" len="med"/>
                                  </a:ln>
                                  <a:effectLst/>
                                </wps:spPr>
                                <wps:bodyPr/>
                              </wps:wsp>
                            </wpg:grpSp>
                            <wps:wsp>
                              <wps:cNvPr id="244" name="AutoShape 14"/>
                              <wps:cNvCnPr>
                                <a:stCxn id="134" idx="3"/>
                                <a:endCxn id="143" idx="1"/>
                              </wps:cNvCnPr>
                              <wps:spPr>
                                <a:xfrm>
                                  <a:off x="10278" y="131238"/>
                                  <a:ext cx="876" cy="2"/>
                                </a:xfrm>
                                <a:prstGeom prst="bentConnector3">
                                  <a:avLst>
                                    <a:gd name="adj1" fmla="val 50000"/>
                                  </a:avLst>
                                </a:prstGeom>
                                <a:ln w="9525" cap="flat" cmpd="sng">
                                  <a:solidFill>
                                    <a:srgbClr val="000000"/>
                                  </a:solidFill>
                                  <a:prstDash val="solid"/>
                                  <a:miter/>
                                  <a:headEnd type="none" w="med" len="med"/>
                                  <a:tailEnd type="triangle" w="med" len="med"/>
                                </a:ln>
                                <a:effectLst/>
                              </wps:spPr>
                              <wps:bodyPr/>
                            </wps:wsp>
                          </wpg:grpSp>
                          <wps:wsp>
                            <wps:cNvPr id="246" name="AutoShape 14"/>
                            <wps:cNvCnPr>
                              <a:stCxn id="127" idx="2"/>
                              <a:endCxn id="137" idx="0"/>
                            </wps:cNvCnPr>
                            <wps:spPr>
                              <a:xfrm rot="5400000" flipV="1">
                                <a:off x="5740" y="130709"/>
                                <a:ext cx="641" cy="5"/>
                              </a:xfrm>
                              <a:prstGeom prst="bentConnector3">
                                <a:avLst>
                                  <a:gd name="adj1" fmla="val 50078"/>
                                </a:avLst>
                              </a:prstGeom>
                              <a:ln w="9525" cap="flat" cmpd="sng">
                                <a:solidFill>
                                  <a:srgbClr val="000000"/>
                                </a:solidFill>
                                <a:prstDash val="solid"/>
                                <a:miter/>
                                <a:headEnd type="none" w="med" len="med"/>
                                <a:tailEnd type="triangle" w="med" len="med"/>
                              </a:ln>
                              <a:effectLst/>
                            </wps:spPr>
                            <wps:bodyPr/>
                          </wps:wsp>
                        </wpg:grpSp>
                        <wps:wsp>
                          <wps:cNvPr id="247" name="AutoShape 14"/>
                          <wps:cNvCnPr>
                            <a:stCxn id="137" idx="2"/>
                            <a:endCxn id="135" idx="0"/>
                          </wps:cNvCnPr>
                          <wps:spPr>
                            <a:xfrm rot="5400000" flipV="1">
                              <a:off x="5782" y="131821"/>
                              <a:ext cx="561" cy="2"/>
                            </a:xfrm>
                            <a:prstGeom prst="bentConnector3">
                              <a:avLst>
                                <a:gd name="adj1" fmla="val 50000"/>
                              </a:avLst>
                            </a:prstGeom>
                            <a:ln w="9525" cap="flat" cmpd="sng">
                              <a:solidFill>
                                <a:srgbClr val="000000"/>
                              </a:solidFill>
                              <a:prstDash val="solid"/>
                              <a:miter/>
                              <a:headEnd type="none" w="med" len="med"/>
                              <a:tailEnd type="triangle" w="med" len="med"/>
                            </a:ln>
                            <a:effectLst/>
                          </wps:spPr>
                          <wps:bodyPr/>
                        </wps:wsp>
                      </wpg:grpSp>
                      <wps:wsp>
                        <wps:cNvPr id="250" name="AutoShape 14"/>
                        <wps:cNvCnPr>
                          <a:stCxn id="135" idx="2"/>
                          <a:endCxn id="132" idx="0"/>
                        </wps:cNvCnPr>
                        <wps:spPr>
                          <a:xfrm rot="5400000" flipV="1">
                            <a:off x="5747" y="132929"/>
                            <a:ext cx="634" cy="1"/>
                          </a:xfrm>
                          <a:prstGeom prst="bentConnector3">
                            <a:avLst>
                              <a:gd name="adj1" fmla="val 49921"/>
                            </a:avLst>
                          </a:prstGeom>
                          <a:ln w="9525" cap="flat" cmpd="sng">
                            <a:solidFill>
                              <a:srgbClr val="000000"/>
                            </a:solidFill>
                            <a:prstDash val="solid"/>
                            <a:miter/>
                            <a:headEnd type="none" w="med" len="med"/>
                            <a:tailEnd type="triangle" w="med" len="med"/>
                          </a:ln>
                          <a:effectLst/>
                        </wps:spPr>
                        <wps:bodyPr/>
                      </wps:wsp>
                    </wpg:wgp>
                  </a:graphicData>
                </a:graphic>
              </wp:inline>
            </w:drawing>
          </mc:Choice>
          <mc:Fallback>
            <w:pict>
              <v:group id="_x0000_s1026" o:spid="_x0000_s1026" o:spt="203" style="height:517.1pt;width:389.2pt;" coordorigin="5071,123482" coordsize="7784,10342" o:gfxdata="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">
                <o:lock v:ext="edit" aspectratio="f"/>
                <v:group id="组合 249" o:spid="_x0000_s1026" o:spt="203" style="position:absolute;left:5071;top:123482;height:10342;width:7784;" coordorigin="5071,123482" coordsize="7784,1034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group id="组合 248" o:spid="_x0000_s1026" o:spt="203" style="position:absolute;left:5071;top:123482;height:10342;width:7784;" coordorigin="5071,123482" coordsize="7784,10342"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group id="组合 245" o:spid="_x0000_s1026" o:spt="203" style="position:absolute;left:5071;top:123482;height:10342;width:7784;" coordorigin="4897,122412" coordsize="7784,10342"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group id="组合 243" o:spid="_x0000_s1026" o:spt="203" style="position:absolute;left:4897;top:122412;height:10342;width:7784;" coordorigin="4283,123285" coordsize="7784,10342"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group id="组合 236" o:spid="_x0000_s1026" o:spt="203" style="position:absolute;left:4283;top:123285;height:10342;width:7784;" coordorigin="2642,122049" coordsize="7784,10342" o:gfxdata="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CDXDL0AAADaAAAADwAAAAAAAAABACAAAAAiAAAAZHJzL2Rvd25yZXYueG1s&#10;UEsBAhQAFAAAAAgAh07iQDMvBZ47AAAAOQAAABUAAAAAAAAAAQAgAAAADAEAAGRycy9ncm91cHNo&#10;YXBleG1sLnhtbFBLBQYAAAAABgAGAGABAADJAwAAAAA=&#10;">
                          <o:lock v:ext="edit" aspectratio="f"/>
                          <v:shape id="AutoShape 14" o:spid="_x0000_s1026" o:spt="34" type="#_x0000_t34" style="position:absolute;left:6747;top:130307;height:1;width:626;rotation:5898240f;" filled="f" stroked="t" coordsize="21600,21600" o:gfxdata="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v8Z8S/&#10;AAAA3AAAAA8AAAAAAAAAAQAgAAAAIgAAAGRycy9kb3ducmV2LnhtbFBLAQIUABQAAAAIAIdO4kAz&#10;LwWeOwAAADkAAAAQAAAAAAAAAAEAIAAAAA4BAABkcnMvc2hhcGV4bWwueG1sUEsFBgAAAAAGAAYA&#10;WwEAALgDAAAAAA==&#10;" adj="10783">
                            <v:fill on="f" focussize="0,0"/>
                            <v:stroke color="#000000" joinstyle="miter" endarrow="block"/>
                            <v:imagedata o:title=""/>
                            <o:lock v:ext="edit" aspectratio="f"/>
                          </v:shape>
                          <v:group id="组合 235" o:spid="_x0000_s1026" o:spt="203" style="position:absolute;left:2642;top:122049;height:10342;width:7784;" coordorigin="3670,122887" coordsize="7784,10342"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AutoShape 14" o:spid="_x0000_s1026" o:spt="34" type="#_x0000_t34" style="position:absolute;left:7814;top:130045;height:3;width:551;rotation:5898240f;" filled="f" stroked="t" coordsize="21600,21600" o:gfxdata="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aPuFW8AAAA&#10;3AAAAA8AAAAAAAAAAQAgAAAAIgAAAGRycy9kb3ducmV2LnhtbFBLAQIUABQAAAAIAIdO4kAzLwWe&#10;OwAAADkAAAAQAAAAAAAAAAEAIAAAAAsBAABkcnMvc2hhcGV4bWwueG1sUEsFBgAAAAAGAAYAWwEA&#10;ALUDAAAAAA==&#10;" adj="10820">
                              <v:fill on="f" focussize="0,0"/>
                              <v:stroke color="#000000" joinstyle="miter" endarrow="block"/>
                              <v:imagedata o:title=""/>
                              <o:lock v:ext="edit" aspectratio="f"/>
                            </v:shape>
                            <v:shape id="AutoShape 14" o:spid="_x0000_s1026" o:spt="33" type="#_x0000_t33" style="position:absolute;left:7340;top:128606;height:655;width:751;" filled="f" stroked="t" coordsize="21600,21600" o:gfxdata="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6F3uu/&#10;AAAA3AAAAA8AAAAAAAAAAQAgAAAAIgAAAGRycy9kb3ducmV2LnhtbFBLAQIUABQAAAAIAIdO4kAz&#10;LwWeOwAAADkAAAAQAAAAAAAAAAEAIAAAAA4BAABkcnMvc2hhcGV4bWwueG1sUEsFBgAAAAAGAAYA&#10;WwEAALgDAAAAAA==&#10;">
                              <v:fill on="f" focussize="0,0"/>
                              <v:stroke color="#000000" joinstyle="miter" endarrow="block"/>
                              <v:imagedata o:title=""/>
                              <o:lock v:ext="edit" aspectratio="f"/>
                            </v:shape>
                            <v:group id="组合 234" o:spid="_x0000_s1026" o:spt="203" style="position:absolute;left:3670;top:122887;height:10342;width:7784;" coordorigin="4682,122550" coordsize="7784,10342"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group id="组合 224" o:spid="_x0000_s1026" o:spt="203" style="position:absolute;left:4682;top:122550;height:10342;width:7784;" coordorigin="3187,121628" coordsize="7784,10342"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223" o:spid="_x0000_s1026" o:spt="203" style="position:absolute;left:3187;top:121628;height:10342;width:7784;" coordorigin="3873,122232" coordsize="7784,10342"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AutoShape 14" o:spid="_x0000_s1026" o:spt="34" type="#_x0000_t34" style="position:absolute;left:7078;top:122576;flip:y;height:1993;width:894;rotation:-5898240f;" filled="f" stroked="t" coordsize="21600,21600" o:gfxdata="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9laEe/&#10;AAAA3AAAAA8AAAAAAAAAAQAgAAAAIgAAAGRycy9kb3ducmV2LnhtbFBLAQIUABQAAAAIAIdO4kAz&#10;LwWeOwAAADkAAAAQAAAAAAAAAAEAIAAAAA4BAABkcnMvc2hhcGV4bWwueG1sUEsFBgAAAAAGAAYA&#10;WwEAALgDAAAAAA==&#10;" adj="10788">
                                    <v:fill on="f" focussize="0,0"/>
                                    <v:stroke color="#000000" joinstyle="miter" endarrow="block"/>
                                    <v:imagedata o:title=""/>
                                    <o:lock v:ext="edit" aspectratio="f"/>
                                  </v:shape>
                                  <v:group id="Group 41" o:spid="_x0000_s1026" o:spt="203" style="position:absolute;left:3873;top:122232;height:10342;width:7784;" coordorigin="-1270,-287655" coordsize="4942840,6567170"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group id="Group 42" o:spid="_x0000_s1026" o:spt="203" style="position:absolute;left:-1270;top:-287655;height:6567170;width:4942840;" coordorigin="-2,-453" coordsize="7784,10342"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group id="Group 43" o:spid="_x0000_s1026" o:spt="203" style="position:absolute;left:-2;top:-453;height:6908;width:7784;" coordorigin="-17,-453" coordsize="7784,6908"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shape id="AutoShape 14" o:spid="_x0000_s1026" o:spt="109" type="#_x0000_t109" style="position:absolute;left:4427;top:-453;height:1050;width:3340;v-text-anchor:middle;" fillcolor="#FFFFFF" filled="t" stroked="t" coordsize="21600,21600" o:gfxdata="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XzQvugAAANwA&#10;AAAPAAAAAAAAAAEAIAAAACIAAABkcnMvZG93bnJldi54bWxQSwECFAAUAAAACACHTuJAMy8FnjsA&#10;AAA5AAAAEAAAAAAAAAABACAAAAAJAQAAZHJzL3NoYXBleG1sLnhtbFBLBQYAAAAABgAGAFsBAACz&#10;AwAAAAA=&#10;">
                                          <v:fill on="t" focussize="0,0"/>
                                          <v:stroke weight="1pt" color="#000000" joinstyle="miter" dashstyle="dash"/>
                                          <v:imagedata o:title=""/>
                                          <o:lock v:ext="edit" aspectratio="f"/>
                                          <v:textbox inset="1.3mm,1.3mm,1.3mm,1.3mm">
                                            <w:txbxContent>
                                              <w:p w14:paraId="694D83C0">
                                                <w:pPr>
                                                  <w:keepNext w:val="0"/>
                                                  <w:keepLines w:val="0"/>
                                                  <w:pageBreakBefore w:val="0"/>
                                                  <w:widowControl w:val="0"/>
                                                  <w:kinsoku/>
                                                  <w:wordWrap w:val="0"/>
                                                  <w:overflowPunct/>
                                                  <w:topLinePunct w:val="0"/>
                                                  <w:autoSpaceDE/>
                                                  <w:autoSpaceDN/>
                                                  <w:bidi w:val="0"/>
                                                  <w:adjustRightInd/>
                                                  <w:snapToGrid/>
                                                  <w:textAlignment w:val="auto"/>
                                                  <w:rPr>
                                                    <w:b/>
                                                  </w:rPr>
                                                </w:pPr>
                                                <w:r>
                                                  <w:rPr>
                                                    <w:rFonts w:hint="eastAsia"/>
                                                    <w:b/>
                                                  </w:rPr>
                                                  <w:t>报案内容：就诊时间、事件发生时间、大致诊疗过程、患者最终状态、投诉事件、患者诉求等</w:t>
                                                </w:r>
                                              </w:p>
                                            </w:txbxContent>
                                          </v:textbox>
                                        </v:shape>
                                        <v:group id="Group 45" o:spid="_x0000_s1026" o:spt="203" style="position:absolute;left:-17;top:-59;height:6514;width:5568;" coordorigin="-17,-226" coordsize="5568,6514" o:gfxdata="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TWXFr0AAADbAAAADwAAAAAAAAABACAAAAAiAAAAZHJzL2Rvd25yZXYueG1s&#10;UEsBAhQAFAAAAAgAh07iQDMvBZ47AAAAOQAAABUAAAAAAAAAAQAgAAAADAEAAGRycy9ncm91cHNo&#10;YXBleG1sLnhtbFBLBQYAAAAABgAGAGABAADJAwAAAAA=&#10;">
                                          <o:lock v:ext="edit" aspectratio="f"/>
                                          <v:shape id="AutoShape 5" o:spid="_x0000_s1026" o:spt="109" type="#_x0000_t109" style="position:absolute;left:1929;top:-226;height:499;width:1417;v-text-anchor:middle;" fillcolor="#FFFFFF" filled="t" stroked="t" coordsize="21600,21600" o:gfxdata="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Qmr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26054A7B">
                                                  <w:pPr>
                                                    <w:keepNext w:val="0"/>
                                                    <w:keepLines w:val="0"/>
                                                    <w:pageBreakBefore w:val="0"/>
                                                    <w:widowControl w:val="0"/>
                                                    <w:kinsoku/>
                                                    <w:wordWrap/>
                                                    <w:overflowPunct/>
                                                    <w:topLinePunct w:val="0"/>
                                                    <w:autoSpaceDE/>
                                                    <w:autoSpaceDN/>
                                                    <w:bidi w:val="0"/>
                                                    <w:adjustRightInd/>
                                                    <w:snapToGrid/>
                                                    <w:jc w:val="center"/>
                                                    <w:textAlignment w:val="auto"/>
                                                  </w:pPr>
                                                  <w:r>
                                                    <w:rPr>
                                                      <w:rFonts w:hint="eastAsia"/>
                                                    </w:rPr>
                                                    <w:t>纠纷报案</w:t>
                                                  </w:r>
                                                </w:p>
                                              </w:txbxContent>
                                            </v:textbox>
                                          </v:shape>
                                          <v:shape id="AutoShape 7" o:spid="_x0000_s1026" o:spt="109" type="#_x0000_t109" style="position:absolute;left:817;top:2727;height:1701;width:3969;v-text-anchor:middle;" fillcolor="#FFFFFF" filled="t" stroked="t" coordsize="21600,21600" o:gfxdata="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2rFu8AAAA&#10;3AAAAA8AAAAAAAAAAQAgAAAAIgAAAGRycy9kb3ducmV2LnhtbFBLAQIUABQAAAAIAIdO4kAzLwWe&#10;OwAAADkAAAAQAAAAAAAAAAEAIAAAAAsBAABkcnMvc2hhcGV4bWwueG1sUEsFBgAAAAAGAAYAWwEA&#10;ALUDAAAAAA==&#10;">
                                            <v:fill on="t" focussize="0,0"/>
                                            <v:stroke weight="1pt" color="#000000" joinstyle="miter" dashstyle="dash"/>
                                            <v:imagedata o:title=""/>
                                            <o:lock v:ext="edit" aspectratio="f"/>
                                            <v:textbox inset="1.3mm,1.3mm,1.3mm,1.3mm">
                                              <w:txbxContent>
                                                <w:p w14:paraId="7496868B">
                                                  <w:pPr>
                                                    <w:rPr>
                                                      <w:b/>
                                                    </w:rPr>
                                                  </w:pPr>
                                                  <w:r>
                                                    <w:rPr>
                                                      <w:rFonts w:hint="eastAsia"/>
                                                      <w:b/>
                                                    </w:rPr>
                                                    <w:t>会诊要求：是否存在过错及过错类型？</w:t>
                                                  </w:r>
                                                </w:p>
                                                <w:p w14:paraId="2F8BD569">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是否违反诊疗常规？</w:t>
                                                  </w:r>
                                                </w:p>
                                                <w:p w14:paraId="508DD784">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损害金额？</w:t>
                                                  </w:r>
                                                </w:p>
                                                <w:p w14:paraId="2D1575DC">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在权限内处理</w:t>
                                                  </w:r>
                                                </w:p>
                                                <w:p w14:paraId="09BBB552">
                                                  <w:pPr>
                                                    <w:keepNext w:val="0"/>
                                                    <w:keepLines w:val="0"/>
                                                    <w:pageBreakBefore w:val="0"/>
                                                    <w:widowControl w:val="0"/>
                                                    <w:kinsoku/>
                                                    <w:wordWrap w:val="0"/>
                                                    <w:overflowPunct/>
                                                    <w:topLinePunct w:val="0"/>
                                                    <w:autoSpaceDE/>
                                                    <w:autoSpaceDN/>
                                                    <w:bidi w:val="0"/>
                                                    <w:adjustRightInd/>
                                                    <w:snapToGrid/>
                                                    <w:ind w:firstLine="1054" w:firstLineChars="500"/>
                                                    <w:textAlignment w:val="auto"/>
                                                    <w:rPr>
                                                      <w:b/>
                                                    </w:rPr>
                                                  </w:pPr>
                                                  <w:r>
                                                    <w:rPr>
                                                      <w:rFonts w:hint="eastAsia"/>
                                                      <w:b/>
                                                    </w:rPr>
                                                    <w:t>核对资料完整</w:t>
                                                  </w:r>
                                                </w:p>
                                              </w:txbxContent>
                                            </v:textbox>
                                          </v:shape>
                                          <v:shape id="AutoShape 118" o:spid="_x0000_s1026" o:spt="109" type="#_x0000_t109" style="position:absolute;left:-17;top:1165;height:499;width:1848;v-text-anchor:middle;" fillcolor="#FFFFFF" filled="t" stroked="t" coordsize="21600,21600" o:gfxdata="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Dl9y8AAAA&#10;3AAAAA8AAAAAAAAAAQAgAAAAIgAAAGRycy9kb3ducmV2LnhtbFBLAQIUABQAAAAIAIdO4kAzLwWe&#10;OwAAADkAAAAQAAAAAAAAAAEAIAAAAAsBAABkcnMvc2hhcGV4bWwueG1sUEsFBgAAAAAGAAYAWwEA&#10;ALUDAAAAAA==&#10;">
                                            <v:fill on="t" focussize="0,0"/>
                                            <v:stroke weight="2.5pt" color="#000000" joinstyle="miter"/>
                                            <v:imagedata o:title=""/>
                                            <o:lock v:ext="edit" aspectratio="f"/>
                                            <v:textbox inset="1.3mm,1.3mm,1.3mm,1.3mm">
                                              <w:txbxContent>
                                                <w:p w14:paraId="4C619A95">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广东和谐医调委</w:t>
                                                  </w:r>
                                                </w:p>
                                              </w:txbxContent>
                                            </v:textbox>
                                          </v:shape>
                                          <v:shape id="AutoShape 124" o:spid="_x0000_s1026" o:spt="109" type="#_x0000_t109" style="position:absolute;left:2092;top:1846;height:499;width:1417;v-text-anchor:middle;" fillcolor="#FFFFFF" filled="t" stroked="t" coordsize="21600,21600" o:gfxdata="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MWaN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6401EE92">
                                                  <w:pPr>
                                                    <w:jc w:val="center"/>
                                                  </w:pPr>
                                                  <w:r>
                                                    <w:rPr>
                                                      <w:rFonts w:hint="eastAsia"/>
                                                    </w:rPr>
                                                    <w:t>医院会诊</w:t>
                                                  </w:r>
                                                </w:p>
                                              </w:txbxContent>
                                            </v:textbox>
                                          </v:shape>
                                          <v:shape id="AutoShape 125" o:spid="_x0000_s1026" o:spt="109" type="#_x0000_t109" style="position:absolute;left:3497;top:5754;height:510;width:1814;v-text-anchor:middle;" fillcolor="#FFFFFF" filled="t" stroked="t" coordsize="21600,21600" o:gfxdata="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4/j6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6A2A7AF5">
                                                  <w:pPr>
                                                    <w:jc w:val="center"/>
                                                  </w:pPr>
                                                  <w:r>
                                                    <w:rPr>
                                                      <w:rFonts w:hint="eastAsia"/>
                                                    </w:rPr>
                                                    <w:t>患方不同意</w:t>
                                                  </w:r>
                                                </w:p>
                                              </w:txbxContent>
                                            </v:textbox>
                                          </v:shape>
                                          <v:shape id="AutoShape 126" o:spid="_x0000_s1026" o:spt="109" type="#_x0000_t109" style="position:absolute;left:121;top:5778;height:510;width:1701;v-text-anchor:middle;" fillcolor="#FFFFFF" filled="t" stroked="t" coordsize="21600,21600" o:gfxdata="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2vXWG8AAAA&#10;3AAAAA8AAAAAAAAAAQAgAAAAIgAAAGRycy9kb3ducmV2LnhtbFBLAQIUABQAAAAIAIdO4kAzLwWe&#10;OwAAADkAAAAQAAAAAAAAAAEAIAAAAAsBAABkcnMvc2hhcGV4bWwueG1sUEsFBgAAAAAGAAYAWwEA&#10;ALUDAAAAAA==&#10;">
                                            <v:fill on="t" focussize="0,0"/>
                                            <v:stroke weight="2.5pt" color="#000000" joinstyle="miter"/>
                                            <v:imagedata o:title=""/>
                                            <o:lock v:ext="edit" aspectratio="f"/>
                                            <v:textbox inset="1.3mm,1.3mm,1.3mm,1.3mm">
                                              <w:txbxContent>
                                                <w:p w14:paraId="6777BA5D">
                                                  <w:pPr>
                                                    <w:jc w:val="center"/>
                                                  </w:pPr>
                                                  <w:r>
                                                    <w:rPr>
                                                      <w:rFonts w:hint="eastAsia"/>
                                                    </w:rPr>
                                                    <w:t>患方同意</w:t>
                                                  </w:r>
                                                </w:p>
                                              </w:txbxContent>
                                            </v:textbox>
                                          </v:shape>
                                          <v:shape id="AutoShape 8" o:spid="_x0000_s1026" o:spt="109" type="#_x0000_t109" style="position:absolute;left:1952;top:4844;height:510;width:1701;v-text-anchor:middle;" fillcolor="#FFFFFF" filled="t" stroked="t" coordsize="21600,21600" o:gfxdata="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efU8i8AAAA&#10;3AAAAA8AAAAAAAAAAQAgAAAAIgAAAGRycy9kb3ducmV2LnhtbFBLAQIUABQAAAAIAIdO4kAzLwWe&#10;OwAAADkAAAAQAAAAAAAAAAEAIAAAAAsBAABkcnMvc2hhcGV4bWwueG1sUEsFBgAAAAAGAAYAWwEA&#10;ALUDAAAAAA==&#10;">
                                            <v:fill on="t" focussize="0,0"/>
                                            <v:stroke weight="2.5pt" color="#000000" joinstyle="miter"/>
                                            <v:imagedata o:title=""/>
                                            <o:lock v:ext="edit" aspectratio="f"/>
                                            <v:textbox inset="1.3mm,1.3mm,1.3mm,1.3mm">
                                              <w:txbxContent>
                                                <w:p w14:paraId="58262AA0">
                                                  <w:pPr>
                                                    <w:jc w:val="center"/>
                                                  </w:pPr>
                                                  <w:r>
                                                    <w:rPr>
                                                      <w:rFonts w:hint="eastAsia"/>
                                                    </w:rPr>
                                                    <w:t>进入和解流程</w:t>
                                                  </w:r>
                                                </w:p>
                                              </w:txbxContent>
                                            </v:textbox>
                                          </v:shape>
                                          <v:shape id="AutoShape 119" o:spid="_x0000_s1026" o:spt="109" type="#_x0000_t109" style="position:absolute;left:3527;top:1167;height:499;width:2024;v-text-anchor:middle;" fillcolor="#FFFFFF" filled="t" stroked="t" coordsize="21600,21600" o:gfxdata="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jT9lO8AAAA&#10;3AAAAA8AAAAAAAAAAQAgAAAAIgAAAGRycy9kb3ducmV2LnhtbFBLAQIUABQAAAAIAIdO4kAzLwWe&#10;OwAAADkAAAAQAAAAAAAAAAEAIAAAAAsBAABkcnMvc2hhcGV4bWwueG1sUEsFBgAAAAAGAAYAWwEA&#10;ALUDAAAAAA==&#10;">
                                            <v:fill on="t" focussize="0,0"/>
                                            <v:stroke weight="2.5pt" color="#000000" joinstyle="miter"/>
                                            <v:imagedata o:title=""/>
                                            <o:lock v:ext="edit" aspectratio="f"/>
                                            <v:textbox inset="1.3mm,1.3mm,1.3mm,1.3mm">
                                              <w:txbxContent>
                                                <w:p w14:paraId="3FD0ACE1">
                                                  <w:pPr>
                                                    <w:keepNext w:val="0"/>
                                                    <w:keepLines w:val="0"/>
                                                    <w:pageBreakBefore w:val="0"/>
                                                    <w:widowControl w:val="0"/>
                                                    <w:kinsoku/>
                                                    <w:wordWrap/>
                                                    <w:overflowPunct/>
                                                    <w:topLinePunct w:val="0"/>
                                                    <w:autoSpaceDE/>
                                                    <w:autoSpaceDN/>
                                                    <w:bidi w:val="0"/>
                                                    <w:adjustRightInd/>
                                                    <w:snapToGrid/>
                                                    <w:jc w:val="center"/>
                                                    <w:textAlignment w:val="auto"/>
                                                  </w:pPr>
                                                  <w:r>
                                                    <w:rPr>
                                                      <w:rFonts w:hint="eastAsia"/>
                                                    </w:rPr>
                                                    <w:t>保险经纪公司</w:t>
                                                  </w:r>
                                                </w:p>
                                              </w:txbxContent>
                                            </v:textbox>
                                          </v:shape>
                                        </v:group>
                                      </v:group>
                                      <v:shape id="AutoShape 132" o:spid="_x0000_s1026" o:spt="109" type="#_x0000_t109" style="position:absolute;left:140;top:9311;height:510;width:1701;v-text-anchor:middle;" fillcolor="#FFFFFF" filled="t" stroked="t" coordsize="21600,21600" o:gfxdata="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BaCS8AAAA&#10;3AAAAA8AAAAAAAAAAQAgAAAAIgAAAGRycy9kb3ducmV2LnhtbFBLAQIUABQAAAAIAIdO4kAzLwWe&#10;OwAAADkAAAAQAAAAAAAAAAEAIAAAAAsBAABkcnMvc2hhcGV4bWwueG1sUEsFBgAAAAAGAAYAWwEA&#10;ALUDAAAAAA==&#10;">
                                        <v:fill on="t" focussize="0,0"/>
                                        <v:stroke weight="2.5pt" color="#000000" joinstyle="miter"/>
                                        <v:imagedata o:title=""/>
                                        <o:lock v:ext="edit" aspectratio="f"/>
                                        <v:textbox inset="1.3mm,1.3mm,1.3mm,1.3mm">
                                          <w:txbxContent>
                                            <w:p w14:paraId="0A176914">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支付给患方</w:t>
                                              </w:r>
                                            </w:p>
                                          </w:txbxContent>
                                        </v:textbox>
                                      </v:shape>
                                      <v:shape id="AutoShape 135" o:spid="_x0000_s1026" o:spt="109" type="#_x0000_t109" style="position:absolute;left:3568;top:9379;height:510;width:1701;v-text-anchor:middle;" fillcolor="#FFFFFF" filled="t" stroked="t" coordsize="21600,21600" o:gfxdata="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03Nv74A&#10;AADcAAAADwAAAAAAAAABACAAAAAiAAAAZHJzL2Rvd25yZXYueG1sUEsBAhQAFAAAAAgAh07iQDMv&#10;BZ47AAAAOQAAABAAAAAAAAAAAQAgAAAADQEAAGRycy9zaGFwZXhtbC54bWxQSwUGAAAAAAYABgBb&#10;AQAAtwMAAAAA&#10;">
                                        <v:fill on="t" focussize="0,0"/>
                                        <v:stroke weight="2.5pt" color="#000000" joinstyle="miter"/>
                                        <v:imagedata o:title=""/>
                                        <o:lock v:ext="edit" aspectratio="f"/>
                                        <v:textbox inset="1.3mm,1.3mm,1.3mm,1.3mm">
                                          <w:txbxContent>
                                            <w:p w14:paraId="001821E8">
                                              <w:pPr>
                                                <w:keepNext w:val="0"/>
                                                <w:keepLines w:val="0"/>
                                                <w:pageBreakBefore w:val="0"/>
                                                <w:widowControl w:val="0"/>
                                                <w:kinsoku/>
                                                <w:wordWrap w:val="0"/>
                                                <w:overflowPunct/>
                                                <w:topLinePunct w:val="0"/>
                                                <w:autoSpaceDE/>
                                                <w:autoSpaceDN/>
                                                <w:bidi w:val="0"/>
                                                <w:adjustRightInd/>
                                                <w:snapToGrid/>
                                                <w:jc w:val="center"/>
                                                <w:textAlignment w:val="auto"/>
                                              </w:pPr>
                                              <w:r>
                                                <w:rPr>
                                                  <w:rFonts w:hint="eastAsia"/>
                                                </w:rPr>
                                                <w:t>或支付给医院</w:t>
                                              </w:r>
                                            </w:p>
                                          </w:txbxContent>
                                        </v:textbox>
                                      </v:shape>
                                      <v:shape id="AutoShape 155" o:spid="_x0000_s1026" o:spt="109" type="#_x0000_t109" style="position:absolute;left:3451;top:8118;height:510;width:1928;v-text-anchor:middle;" fillcolor="#FFFFFF" filled="t" stroked="t" coordsize="21600,21600" o:gfxdata="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KRVy7sAAADc&#10;AAAADwAAAAAAAAABACAAAAAiAAAAZHJzL2Rvd25yZXYueG1sUEsBAhQAFAAAAAgAh07iQDMvBZ47&#10;AAAAOQAAABAAAAAAAAAAAQAgAAAACgEAAGRycy9zaGFwZXhtbC54bWxQSwUGAAAAAAYABgBbAQAA&#10;tAMAAAAA&#10;">
                                        <v:fill on="t" focussize="0,0"/>
                                        <v:stroke weight="2.5pt" color="#000000" joinstyle="miter"/>
                                        <v:imagedata o:title=""/>
                                        <o:lock v:ext="edit" aspectratio="f"/>
                                        <v:textbox inset="1.3mm,1.3mm,1.3mm,1.3mm">
                                          <w:txbxContent>
                                            <w:p w14:paraId="0B41A5EB">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rPr>
                                                <w:t>医患双方接受</w:t>
                                              </w:r>
                                            </w:p>
                                          </w:txbxContent>
                                        </v:textbox>
                                      </v:shape>
                                      <v:shape id="AutoShape 158" o:spid="_x0000_s1026" o:spt="109" type="#_x0000_t109" style="position:absolute;left:139;top:8167;height:510;width:1701;v-text-anchor:middle;" fillcolor="#FFFFFF" filled="t" stroked="t" coordsize="21600,21600" o:gfxdata="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QPwO7sAAADc&#10;AAAADwAAAAAAAAABACAAAAAiAAAAZHJzL2Rvd25yZXYueG1sUEsBAhQAFAAAAAgAh07iQDMvBZ47&#10;AAAAOQAAABAAAAAAAAAAAQAgAAAACgEAAGRycy9zaGFwZXhtbC54bWxQSwUGAAAAAAYABgBbAQAA&#10;tAMAAAAA&#10;">
                                        <v:fill on="t" focussize="0,0"/>
                                        <v:stroke weight="1pt" color="#000000" joinstyle="miter" dashstyle="dash"/>
                                        <v:imagedata o:title=""/>
                                        <o:lock v:ext="edit" aspectratio="f"/>
                                        <v:textbox inset="1.3mm,1.3mm,1.3mm,1.3mm">
                                          <w:txbxContent>
                                            <w:p w14:paraId="565F78A3">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b/>
                                                </w:rPr>
                                              </w:pPr>
                                              <w:r>
                                                <w:rPr>
                                                  <w:rFonts w:hint="eastAsia"/>
                                                  <w:b/>
                                                </w:rPr>
                                                <w:t>认定保险责任</w:t>
                                              </w:r>
                                            </w:p>
                                          </w:txbxContent>
                                        </v:textbox>
                                      </v:shape>
                                      <v:shape id="AutoShape 131" o:spid="_x0000_s1026" o:spt="109" type="#_x0000_t109" style="position:absolute;left:70;top:7096;height:510;width:1836;v-text-anchor:middle;" fillcolor="#FFFFFF" filled="t" stroked="t" coordsize="21600,21600" o:gfxdata="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dsu8vQAA&#10;ANwAAAAPAAAAAAAAAAEAIAAAACIAAABkcnMvZG93bnJldi54bWxQSwECFAAUAAAACACHTuJAMy8F&#10;njsAAAA5AAAAEAAAAAAAAAABACAAAAAMAQAAZHJzL3NoYXBleG1sLnhtbFBLBQYAAAAABgAGAFsB&#10;AAC2AwAAAAA=&#10;">
                                        <v:fill on="t" focussize="0,0"/>
                                        <v:stroke weight="2.5pt" color="#000000" joinstyle="miter"/>
                                        <v:imagedata o:title=""/>
                                        <o:lock v:ext="edit" aspectratio="f"/>
                                        <v:textbox inset="1.3mm,1.3mm,1.3mm,1.3mm">
                                          <w:txbxContent>
                                            <w:p w14:paraId="38A4558F">
                                              <w:pPr>
                                                <w:jc w:val="center"/>
                                              </w:pPr>
                                              <w:r>
                                                <w:rPr>
                                                  <w:rFonts w:hint="eastAsia"/>
                                                </w:rPr>
                                                <w:t>提交保险人索赔</w:t>
                                              </w:r>
                                            </w:p>
                                          </w:txbxContent>
                                        </v:textbox>
                                      </v:shape>
                                      <v:shape id="AutoShape 137" o:spid="_x0000_s1026" o:spt="109" type="#_x0000_t109" style="position:absolute;left:3565;top:6982;height:510;width:1701;v-text-anchor:middle;" fillcolor="#FFFFFF" filled="t" stroked="t" coordsize="21600,21600" o:gfxdata="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wJfpb4A&#10;AADcAAAADwAAAAAAAAABACAAAAAiAAAAZHJzL2Rvd25yZXYueG1sUEsBAhQAFAAAAAgAh07iQDMv&#10;BZ47AAAAOQAAABAAAAAAAAAAAQAgAAAADQEAAGRycy9zaGFwZXhtbC54bWxQSwUGAAAAAAYABgBb&#10;AQAAtwMAAAAA&#10;">
                                        <v:fill on="t" focussize="0,0"/>
                                        <v:stroke weight="1pt" color="#000000" joinstyle="miter" dashstyle="dash"/>
                                        <v:imagedata o:title=""/>
                                        <o:lock v:ext="edit" aspectratio="f"/>
                                        <v:textbox inset="1.3mm,1.3mm,1.3mm,1.3mm">
                                          <w:txbxContent>
                                            <w:p w14:paraId="7AB9E165">
                                              <w:pPr>
                                                <w:keepNext w:val="0"/>
                                                <w:keepLines w:val="0"/>
                                                <w:pageBreakBefore w:val="0"/>
                                                <w:widowControl w:val="0"/>
                                                <w:kinsoku/>
                                                <w:wordWrap w:val="0"/>
                                                <w:overflowPunct/>
                                                <w:topLinePunct w:val="0"/>
                                                <w:autoSpaceDE/>
                                                <w:autoSpaceDN/>
                                                <w:bidi w:val="0"/>
                                                <w:adjustRightInd/>
                                                <w:snapToGrid/>
                                                <w:jc w:val="center"/>
                                                <w:textAlignment w:val="auto"/>
                                                <w:rPr>
                                                  <w:b/>
                                                </w:rPr>
                                              </w:pPr>
                                              <w:r>
                                                <w:rPr>
                                                  <w:rFonts w:hint="eastAsia"/>
                                                  <w:b/>
                                                </w:rPr>
                                                <w:t>引导申请调解</w:t>
                                              </w:r>
                                            </w:p>
                                          </w:txbxContent>
                                        </v:textbox>
                                      </v:shape>
                                    </v:group>
                                    <v:shape id="五边形 3" o:spid="_x0000_s1026" o:spt="15" type="#_x0000_t15" style="position:absolute;left:3971925;top:5075555;height:484505;width:935990;v-text-anchor:middle;" fillcolor="#6D6D6D" filled="t" stroked="t" coordsize="21600,21600" o:gfxdata="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pcL0rsAAADc&#10;AAAADwAAAAAAAAABACAAAAAiAAAAZHJzL2Rvd25yZXYueG1sUEsBAhQAFAAAAAgAh07iQDMvBZ47&#10;AAAAOQAAABAAAAAAAAAAAQAgAAAACgEAAGRycy9zaGFwZXhtbC54bWxQSwUGAAAAAAYABgBbAQAA&#10;tAMAAAAA&#10;" adj="16010">
                                      <v:fill on="t" focussize="0,0"/>
                                      <v:stroke weight="2pt" color="#4395D1" joinstyle="miter"/>
                                      <v:imagedata o:title=""/>
                                      <o:lock v:ext="edit" aspectratio="f"/>
                                      <v:textbox inset="1.3mm,1.3mm,1.3mm,1.3mm">
                                        <w:txbxContent>
                                          <w:p w14:paraId="5C2B83B3">
                                            <w:pPr>
                                              <w:keepNext w:val="0"/>
                                              <w:keepLines w:val="0"/>
                                              <w:pageBreakBefore w:val="0"/>
                                              <w:widowControl w:val="0"/>
                                              <w:kinsoku/>
                                              <w:wordWrap w:val="0"/>
                                              <w:overflowPunct/>
                                              <w:topLinePunct w:val="0"/>
                                              <w:autoSpaceDE/>
                                              <w:autoSpaceDN/>
                                              <w:bidi w:val="0"/>
                                              <w:adjustRightInd/>
                                              <w:snapToGrid/>
                                              <w:jc w:val="center"/>
                                              <w:textAlignment w:val="auto"/>
                                              <w:rPr>
                                                <w:rFonts w:hint="eastAsia"/>
                                                <w:color w:val="000000"/>
                                              </w:rPr>
                                            </w:pPr>
                                            <w:r>
                                              <w:rPr>
                                                <w:rFonts w:hint="eastAsia"/>
                                                <w:color w:val="000000"/>
                                              </w:rPr>
                                              <w:t>进入</w:t>
                                            </w:r>
                                          </w:p>
                                          <w:p w14:paraId="7FF5E31B">
                                            <w:pPr>
                                              <w:keepNext w:val="0"/>
                                              <w:keepLines w:val="0"/>
                                              <w:pageBreakBefore w:val="0"/>
                                              <w:widowControl w:val="0"/>
                                              <w:kinsoku/>
                                              <w:wordWrap w:val="0"/>
                                              <w:overflowPunct/>
                                              <w:topLinePunct w:val="0"/>
                                              <w:autoSpaceDE/>
                                              <w:autoSpaceDN/>
                                              <w:bidi w:val="0"/>
                                              <w:adjustRightInd/>
                                              <w:snapToGrid/>
                                              <w:jc w:val="center"/>
                                              <w:textAlignment w:val="auto"/>
                                              <w:rPr>
                                                <w:color w:val="000000"/>
                                              </w:rPr>
                                            </w:pPr>
                                            <w:r>
                                              <w:rPr>
                                                <w:rFonts w:hint="eastAsia"/>
                                                <w:color w:val="000000"/>
                                              </w:rPr>
                                              <w:t>调解程序</w:t>
                                            </w:r>
                                          </w:p>
                                        </w:txbxContent>
                                      </v:textbox>
                                    </v:shape>
                                    <v:shape id="五边形 4" o:spid="_x0000_s1026" o:spt="15" type="#_x0000_t15" style="position:absolute;left:3952240;top:3679825;height:484505;width:935990;v-text-anchor:middle;" fillcolor="#6D6D6D" filled="t" stroked="t" coordsize="21600,21600" o:gfxdata="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fpOmvQAA&#10;ANwAAAAPAAAAAAAAAAEAIAAAACIAAABkcnMvZG93bnJldi54bWxQSwECFAAUAAAACACHTuJAMy8F&#10;njsAAAA5AAAAEAAAAAAAAAABACAAAAAMAQAAZHJzL3NoYXBleG1sLnhtbFBLBQYAAAAABgAGAFsB&#10;AAC2AwAAAAA=&#10;" adj="16010">
                                      <v:fill on="t" focussize="0,0"/>
                                      <v:stroke weight="2pt" color="#4395D1" joinstyle="miter"/>
                                      <v:imagedata o:title=""/>
                                      <o:lock v:ext="edit" aspectratio="f"/>
                                      <v:textbox inset="1.3mm,1.3mm,1.3mm,1.3mm">
                                        <w:txbxContent>
                                          <w:p w14:paraId="572C9C09">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rPr>
                                                <w:rFonts w:hint="eastAsia"/>
                                                <w:color w:val="000000"/>
                                              </w:rPr>
                                            </w:pPr>
                                            <w:r>
                                              <w:rPr>
                                                <w:rFonts w:hint="eastAsia"/>
                                                <w:color w:val="000000"/>
                                              </w:rPr>
                                              <w:t>引导</w:t>
                                            </w:r>
                                          </w:p>
                                          <w:p w14:paraId="45F09E46">
                                            <w:pPr>
                                              <w:keepNext w:val="0"/>
                                              <w:keepLines w:val="0"/>
                                              <w:pageBreakBefore w:val="0"/>
                                              <w:widowControl w:val="0"/>
                                              <w:kinsoku/>
                                              <w:wordWrap w:val="0"/>
                                              <w:overflowPunct/>
                                              <w:topLinePunct w:val="0"/>
                                              <w:autoSpaceDE/>
                                              <w:autoSpaceDN/>
                                              <w:bidi w:val="0"/>
                                              <w:adjustRightInd/>
                                              <w:snapToGrid/>
                                              <w:ind w:firstLine="0" w:firstLineChars="0"/>
                                              <w:jc w:val="center"/>
                                              <w:textAlignment w:val="auto"/>
                                            </w:pPr>
                                            <w:r>
                                              <w:rPr>
                                                <w:rFonts w:hint="eastAsia"/>
                                                <w:color w:val="000000"/>
                                              </w:rPr>
                                              <w:t>走</w:t>
                                            </w:r>
                                            <w:r>
                                              <w:rPr>
                                                <w:rFonts w:hint="eastAsia"/>
                                              </w:rPr>
                                              <w:t>诉讼</w:t>
                                            </w:r>
                                          </w:p>
                                          <w:p w14:paraId="557B1A8A">
                                            <w:pPr>
                                              <w:ind w:firstLine="105" w:firstLineChars="50"/>
                                            </w:pPr>
                                            <w:r>
                                              <w:rPr>
                                                <w:rFonts w:hint="eastAsia"/>
                                              </w:rPr>
                                              <w:t>导走诉讼</w:t>
                                            </w:r>
                                          </w:p>
                                          <w:p w14:paraId="0F2FCA8B">
                                            <w:pPr>
                                              <w:ind w:firstLine="105" w:firstLineChars="50"/>
                                              <w:jc w:val="center"/>
                                            </w:pPr>
                                            <w:r>
                                              <w:rPr>
                                                <w:rFonts w:hint="eastAsia"/>
                                              </w:rPr>
                                              <w:t>讼</w:t>
                                            </w:r>
                                          </w:p>
                                          <w:p w14:paraId="7B3D77FE">
                                            <w:pPr>
                                              <w:pStyle w:val="22"/>
                                              <w:jc w:val="center"/>
                                            </w:pPr>
                                            <w:r>
                                              <w:rPr>
                                                <w:rFonts w:hint="eastAsia"/>
                                                <w:szCs w:val="21"/>
                                              </w:rPr>
                                              <w:t>走司法诉讼</w:t>
                                            </w:r>
                                          </w:p>
                                        </w:txbxContent>
                                      </v:textbox>
                                    </v:shape>
                                  </v:group>
                                  <v:shape id="AutoShape 14" o:spid="_x0000_s1026" o:spt="34" type="#_x0000_t34" style="position:absolute;left:5217;top:122706;height:1731;width:892;rotation:5898240f;" filled="f" stroked="t" coordsize="21600,21600" o:gfxdata="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595dbsAAADc&#10;AAAADwAAAAAAAAABACAAAAAiAAAAZHJzL2Rvd25yZXYueG1sUEsBAhQAFAAAAAgAh07iQDMvBZ47&#10;AAAAOQAAABAAAAAAAAAAAQAgAAAACgEAAGRycy9zaGFwZXhtbC54bWxQSwUGAAAAAAYABgBbAQAA&#10;tAMAAAAA&#10;" adj="10788">
                                    <v:fill on="f" focussize="0,0"/>
                                    <v:stroke color="#000000" joinstyle="miter" endarrow="block"/>
                                    <v:imagedata o:title=""/>
                                    <o:lock v:ext="edit" aspectratio="f"/>
                                  </v:shape>
                                </v:group>
                                <v:shape id="AutoShape 14" o:spid="_x0000_s1026" o:spt="34" type="#_x0000_t34" style="position:absolute;left:5035;top:123663;height:5;width:1696;" filled="f" stroked="t" coordsize="21600,21600" o:gfxdata="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AAuO/&#10;AAAA3AAAAA8AAAAAAAAAAQAgAAAAIgAAAGRycy9kb3ducmV2LnhtbFBLAQIUABQAAAAIAIdO4kAz&#10;LwWeOwAAADkAAAAQAAAAAAAAAAEAIAAAAA4BAABkcnMvc2hhcGV4bWwueG1sUEsFBgAAAAAGAAYA&#10;WwEAALgDAAAAAA==&#10;" adj="10800">
                                  <v:fill on="f" focussize="0,0"/>
                                  <v:stroke color="#000000" joinstyle="miter" endarrow="block"/>
                                  <v:imagedata o:title=""/>
                                  <o:lock v:ext="edit" aspectratio="f"/>
                                </v:shape>
                                <v:shape id="AutoShape 14" o:spid="_x0000_s1026" o:spt="33" type="#_x0000_t33" style="position:absolute;left:4488;top:123536;flip:y;height:1185;width:432;rotation:-5898240f;" filled="f" stroked="t" coordsize="21600,21600" o:gfxdata="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ZrOUrsAAADc&#10;AAAADwAAAAAAAAABACAAAAAiAAAAZHJzL2Rvd25yZXYueG1sUEsBAhQAFAAAAAgAh07iQDMvBZ47&#10;AAAAOQAAABAAAAAAAAAAAQAgAAAACgEAAGRycy9zaGFwZXhtbC54bWxQSwUGAAAAAAYABgBbAQAA&#10;tAMAAAAA&#10;">
                                  <v:fill on="f" focussize="0,0"/>
                                  <v:stroke color="#000000" joinstyle="miter" endarrow="block"/>
                                  <v:imagedata o:title=""/>
                                  <o:lock v:ext="edit" aspectratio="f"/>
                                </v:shape>
                                <v:shape id="AutoShape 14" o:spid="_x0000_s1026" o:spt="34" type="#_x0000_t34" style="position:absolute;left:5815;top:124784;flip:y;height:1;width:382;rotation:-5898240f;" filled="f" stroked="t" coordsize="21600,21600" o:gfxdata="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PqmuvQAA&#10;ANwAAAAPAAAAAAAAAAEAIAAAACIAAABkcnMvZG93bnJldi54bWxQSwECFAAUAAAACACHTuJAMy8F&#10;njsAAAA5AAAAEAAAAAAAAAABACAAAAAMAQAAZHJzL3NoYXBleG1sLnhtbFBLBQYAAAAABgAGAFsB&#10;AAC2AwAAAAA=&#10;" adj="10772">
                                  <v:fill on="f" focussize="0,0"/>
                                  <v:stroke color="#000000" joinstyle="miter" endarrow="block"/>
                                  <v:imagedata o:title=""/>
                                  <o:lock v:ext="edit" aspectratio="f"/>
                                </v:shape>
                                <v:shape id="AutoShape 14" o:spid="_x0000_s1026" o:spt="34" type="#_x0000_t34" style="position:absolute;left:5799;top:126884;flip:y;height:1;width:416;rotation:-5898240f;" filled="f" stroked="t" coordsize="21600,21600" o:gfxdata="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situ7sAAADc&#10;AAAADwAAAAAAAAABACAAAAAiAAAAZHJzL2Rvd25yZXYueG1sUEsBAhQAFAAAAAgAh07iQDMvBZ47&#10;AAAAOQAAABAAAAAAAAAAAQAgAAAACgEAAGRycy9zaGFwZXhtbC54bWxQSwUGAAAAAAYABgBbAQAA&#10;tAMAAAAA&#10;" adj="10774">
                                  <v:fill on="f" focussize="0,0"/>
                                  <v:stroke color="#000000" joinstyle="miter" endarrow="block"/>
                                  <v:imagedata o:title=""/>
                                  <o:lock v:ext="edit" aspectratio="f"/>
                                </v:shape>
                              </v:group>
                              <v:shape id="AutoShape 14" o:spid="_x0000_s1026" o:spt="33" type="#_x0000_t33" style="position:absolute;left:5671;top:128269;flip:y;height:672;width:980;rotation:11796480f;" filled="f" stroked="t" coordsize="21600,21600" o:gfxdata="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mpv9y/&#10;AAAA3AAAAA8AAAAAAAAAAQAgAAAAIgAAAGRycy9kb3ducmV2LnhtbFBLAQIUABQAAAAIAIdO4kAz&#10;LwWeOwAAADkAAAAQAAAAAAAAAAEAIAAAAA4BAABkcnMvc2hhcGV4bWwueG1sUEsFBgAAAAAGAAYA&#10;WwEAALgDAAAAAA==&#10;">
                                <v:fill on="f" focussize="0,0"/>
                                <v:stroke color="#000000" joinstyle="miter" endarrow="block"/>
                                <v:imagedata o:title=""/>
                                <o:lock v:ext="edit" aspectratio="f"/>
                              </v:shape>
                            </v:group>
                          </v:group>
                        </v:group>
                        <v:shape id="AutoShape 14" o:spid="_x0000_s1026" o:spt="34" type="#_x0000_t34" style="position:absolute;left:9611;top:129914;height:1;width:898;" filled="f" stroked="t" coordsize="21600,21600" o:gfxdata="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JhGO8AAAA&#10;3AAAAA8AAAAAAAAAAQAgAAAAIgAAAGRycy9kb3ducmV2LnhtbFBLAQIUABQAAAAIAIdO4kAzLwWe&#10;OwAAADkAAAAQAAAAAAAAAAEAIAAAAAsBAABkcnMvc2hhcGV4bWwueG1sUEsFBgAAAAAGAAYAWwEA&#10;ALUDAAAAAA==&#10;" adj="10800">
                          <v:fill on="f" focussize="0,0"/>
                          <v:stroke color="#000000" joinstyle="miter" endarrow="block"/>
                          <v:imagedata o:title=""/>
                          <o:lock v:ext="edit" aspectratio="f"/>
                        </v:shape>
                        <v:shape id="AutoShape 14" o:spid="_x0000_s1026" o:spt="34" type="#_x0000_t34" style="position:absolute;left:6639;top:131052;flip:y;height:3429;width:702;rotation:-5898240f;" filled="f" stroked="t" coordsize="21600,21600" o:gfxdata="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DhQBvQAA&#10;ANwAAAAPAAAAAAAAAAEAIAAAACIAAABkcnMvZG93bnJldi54bWxQSwECFAAUAAAACACHTuJAMy8F&#10;njsAAAA5AAAAEAAAAAAAAAABACAAAAAMAQAAZHJzL3NoYXBleG1sLnhtbFBLBQYAAAAABgAGAFsB&#10;AAC2AwAAAAA=&#10;" adj="10785">
                          <v:fill on="f" focussize="0,0"/>
                          <v:stroke color="#000000" joinstyle="miter" endarrow="block"/>
                          <v:imagedata o:title=""/>
                          <o:lock v:ext="edit" aspectratio="f"/>
                        </v:shape>
                        <v:shape id="AutoShape 14" o:spid="_x0000_s1026" o:spt="34" type="#_x0000_t34" style="position:absolute;left:6122;top:129938;height:2173;width:1614;rotation:11796480f;" filled="f" stroked="t" coordsize="21600,21600" o:gfxdata="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wJ7l+/&#10;AAAA3AAAAA8AAAAAAAAAAQAgAAAAIgAAAGRycy9kb3ducmV2LnhtbFBLAQIUABQAAAAIAIdO4kAz&#10;LwWeOwAAADkAAAAQAAAAAAAAAAEAIAAAAA4BAABkcnMvc2hhcGV4bWwueG1sUEsFBgAAAAAGAAYA&#10;WwEAALgDAAAAAA==&#10;" adj="10800">
                          <v:fill on="f" focussize="0,0"/>
                          <v:stroke color="#000000" joinstyle="miter" endarrow="block"/>
                          <v:imagedata o:title=""/>
                          <o:lock v:ext="edit" aspectratio="f"/>
                        </v:shape>
                      </v:group>
                      <v:shape id="AutoShape 14" o:spid="_x0000_s1026" o:spt="34" type="#_x0000_t34" style="position:absolute;left:10278;top:131238;height:2;width:876;" filled="f" stroked="t" coordsize="21600,21600" o:gfxdata="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7ygmC/&#10;AAAA3AAAAA8AAAAAAAAAAQAgAAAAIgAAAGRycy9kb3ducmV2LnhtbFBLAQIUABQAAAAIAIdO4kAz&#10;LwWeOwAAADkAAAAQAAAAAAAAAAEAIAAAAA4BAABkcnMvc2hhcGV4bWwueG1sUEsFBgAAAAAGAAYA&#10;WwEAALgDAAAAAA==&#10;" adj="10800">
                        <v:fill on="f" focussize="0,0"/>
                        <v:stroke color="#000000" joinstyle="miter" endarrow="block"/>
                        <v:imagedata o:title=""/>
                        <o:lock v:ext="edit" aspectratio="f"/>
                      </v:shape>
                    </v:group>
                    <v:shape id="AutoShape 14" o:spid="_x0000_s1026" o:spt="34" type="#_x0000_t34" style="position:absolute;left:5740;top:130709;flip:y;height:5;width:641;rotation:-5898240f;" filled="f" stroked="t" coordsize="21600,21600" o:gfxdata="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lxrevQAA&#10;ANwAAAAPAAAAAAAAAAEAIAAAACIAAABkcnMvZG93bnJldi54bWxQSwECFAAUAAAACACHTuJAMy8F&#10;njsAAAA5AAAAEAAAAAAAAAABACAAAAAMAQAAZHJzL3NoYXBleG1sLnhtbFBLBQYAAAAABgAGAFsB&#10;AAC2AwAAAAA=&#10;" adj="10817">
                      <v:fill on="f" focussize="0,0"/>
                      <v:stroke color="#000000" joinstyle="miter" endarrow="block"/>
                      <v:imagedata o:title=""/>
                      <o:lock v:ext="edit" aspectratio="f"/>
                    </v:shape>
                  </v:group>
                  <v:shape id="AutoShape 14" o:spid="_x0000_s1026" o:spt="34" type="#_x0000_t34" style="position:absolute;left:5782;top:131821;flip:y;height:2;width:561;rotation:-5898240f;" filled="f" stroked="t" coordsize="21600,21600" o:gfxdata="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8tgwG/&#10;AAAA3AAAAA8AAAAAAAAAAQAgAAAAIgAAAGRycy9kb3ducmV2LnhtbFBLAQIUABQAAAAIAIdO4kAz&#10;LwWeOwAAADkAAAAQAAAAAAAAAAEAIAAAAA4BAABkcnMvc2hhcGV4bWwueG1sUEsFBgAAAAAGAAYA&#10;WwEAALgDAAAAAA==&#10;" adj="10800">
                    <v:fill on="f" focussize="0,0"/>
                    <v:stroke color="#000000" joinstyle="miter" endarrow="block"/>
                    <v:imagedata o:title=""/>
                    <o:lock v:ext="edit" aspectratio="f"/>
                  </v:shape>
                </v:group>
                <v:shape id="AutoShape 14" o:spid="_x0000_s1026" o:spt="34" type="#_x0000_t34" style="position:absolute;left:5747;top:132929;flip:y;height:1;width:634;rotation:-5898240f;" filled="f" stroked="t" coordsize="21600,21600" o:gfxdata="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x8a68AAAA&#10;3AAAAA8AAAAAAAAAAQAgAAAAIgAAAGRycy9kb3ducmV2LnhtbFBLAQIUABQAAAAIAIdO4kAzLwWe&#10;OwAAADkAAAAQAAAAAAAAAAEAIAAAAAsBAABkcnMvc2hhcGV4bWwueG1sUEsFBgAAAAAGAAYAWwEA&#10;ALUDAAAAAA==&#10;" adj="10783">
                  <v:fill on="f" focussize="0,0"/>
                  <v:stroke color="#000000" joinstyle="miter" endarrow="block"/>
                  <v:imagedata o:title=""/>
                  <o:lock v:ext="edit" aspectratio="f"/>
                </v:shape>
                <w10:wrap type="none"/>
                <w10:anchorlock/>
              </v:group>
            </w:pict>
          </mc:Fallback>
        </mc:AlternateContent>
      </w:r>
    </w:p>
    <w:p w14:paraId="59E6553E">
      <w:pPr>
        <w:keepNext w:val="0"/>
        <w:keepLines w:val="0"/>
        <w:pageBreakBefore/>
        <w:widowControl w:val="0"/>
        <w:kinsoku/>
        <w:wordWrap w:val="0"/>
        <w:overflowPunct/>
        <w:topLinePunct w:val="0"/>
        <w:autoSpaceDE/>
        <w:autoSpaceDN/>
        <w:bidi w:val="0"/>
        <w:adjustRightInd/>
        <w:snapToGrid/>
        <w:spacing w:line="360" w:lineRule="auto"/>
        <w:ind w:firstLine="482" w:firstLineChars="200"/>
        <w:jc w:val="left"/>
        <w:textAlignment w:val="auto"/>
        <w:rPr>
          <w:rFonts w:ascii="宋体" w:hAnsi="宋体"/>
          <w:b/>
          <w:color w:val="auto"/>
          <w:sz w:val="24"/>
          <w:highlight w:val="none"/>
        </w:rPr>
      </w:pPr>
      <w:r>
        <w:rPr>
          <w:rFonts w:hint="eastAsia" w:ascii="宋体" w:hAnsi="宋体"/>
          <w:b/>
          <w:color w:val="auto"/>
          <w:sz w:val="24"/>
          <w:highlight w:val="none"/>
        </w:rPr>
        <w:t>3、诉讼案件处理流程图</w:t>
      </w:r>
    </w:p>
    <w:p w14:paraId="28E9FA06">
      <w:pPr>
        <w:jc w:val="center"/>
        <w:rPr>
          <w:color w:val="auto"/>
          <w:highlight w:val="none"/>
        </w:rPr>
      </w:pPr>
      <w:r>
        <w:rPr>
          <w:color w:val="auto"/>
          <w:highlight w:val="none"/>
        </w:rPr>
        <mc:AlternateContent>
          <mc:Choice Requires="wpg">
            <w:drawing>
              <wp:inline distT="0" distB="0" distL="114300" distR="114300">
                <wp:extent cx="5106670" cy="8336915"/>
                <wp:effectExtent l="0" t="0" r="71755" b="41275"/>
                <wp:docPr id="84" name="组合 84"/>
                <wp:cNvGraphicFramePr/>
                <a:graphic xmlns:a="http://schemas.openxmlformats.org/drawingml/2006/main">
                  <a:graphicData uri="http://schemas.microsoft.com/office/word/2010/wordprocessingGroup">
                    <wpg:wgp>
                      <wpg:cNvGrpSpPr/>
                      <wpg:grpSpPr>
                        <a:xfrm>
                          <a:off x="0" y="0"/>
                          <a:ext cx="5106410" cy="8336716"/>
                          <a:chOff x="3684" y="1849"/>
                          <a:chExt cx="8116" cy="13652"/>
                        </a:xfrm>
                      </wpg:grpSpPr>
                      <wpg:grpSp>
                        <wpg:cNvPr id="85" name="组合 97"/>
                        <wpg:cNvGrpSpPr/>
                        <wpg:grpSpPr>
                          <a:xfrm>
                            <a:off x="3684" y="1849"/>
                            <a:ext cx="8116" cy="12370"/>
                            <a:chOff x="3969" y="1847"/>
                            <a:chExt cx="8146" cy="13659"/>
                          </a:xfrm>
                        </wpg:grpSpPr>
                        <wpg:grpSp>
                          <wpg:cNvPr id="86" name="组合 95"/>
                          <wpg:cNvGrpSpPr/>
                          <wpg:grpSpPr>
                            <a:xfrm>
                              <a:off x="3969" y="1847"/>
                              <a:ext cx="8146" cy="13659"/>
                              <a:chOff x="3277" y="1847"/>
                              <a:chExt cx="8146" cy="13659"/>
                            </a:xfrm>
                          </wpg:grpSpPr>
                          <wpg:grpSp>
                            <wpg:cNvPr id="87" name="组合 92"/>
                            <wpg:cNvGrpSpPr/>
                            <wpg:grpSpPr>
                              <a:xfrm>
                                <a:off x="3277" y="1847"/>
                                <a:ext cx="8146" cy="13659"/>
                                <a:chOff x="3277" y="1847"/>
                                <a:chExt cx="8146" cy="13659"/>
                              </a:xfrm>
                            </wpg:grpSpPr>
                            <wps:wsp>
                              <wps:cNvPr id="48" name="直接箭头连接符 48"/>
                              <wps:cNvCnPr>
                                <a:stCxn id="55" idx="2"/>
                                <a:endCxn id="58" idx="0"/>
                              </wps:cNvCnPr>
                              <wps:spPr>
                                <a:xfrm>
                                  <a:off x="7196" y="2717"/>
                                  <a:ext cx="32" cy="4371"/>
                                </a:xfrm>
                                <a:prstGeom prst="straightConnector1">
                                  <a:avLst/>
                                </a:prstGeom>
                                <a:ln w="9525" cap="flat" cmpd="sng">
                                  <a:solidFill>
                                    <a:srgbClr val="000000"/>
                                  </a:solidFill>
                                  <a:prstDash val="solid"/>
                                  <a:headEnd type="none" w="med" len="med"/>
                                  <a:tailEnd type="triangle" w="med" len="med"/>
                                </a:ln>
                              </wps:spPr>
                              <wps:bodyPr lIns="46800" tIns="46800" rIns="46800" bIns="46800" anchor="ctr" anchorCtr="0" upright="0"/>
                            </wps:wsp>
                            <wpg:grpSp>
                              <wpg:cNvPr id="88" name="组合 91"/>
                              <wpg:cNvGrpSpPr/>
                              <wpg:grpSpPr>
                                <a:xfrm>
                                  <a:off x="3277" y="1847"/>
                                  <a:ext cx="8146" cy="13659"/>
                                  <a:chOff x="3277" y="1847"/>
                                  <a:chExt cx="8146" cy="13659"/>
                                </a:xfrm>
                              </wpg:grpSpPr>
                              <wps:wsp>
                                <wps:cNvPr id="50" name="矩形 50"/>
                                <wps:cNvSpPr/>
                                <wps:spPr>
                                  <a:xfrm>
                                    <a:off x="6267" y="3221"/>
                                    <a:ext cx="2066" cy="51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D897C6">
                                      <w:pPr>
                                        <w:keepNext w:val="0"/>
                                        <w:keepLines w:val="0"/>
                                        <w:pageBreakBefore w:val="0"/>
                                        <w:widowControl w:val="0"/>
                                        <w:kinsoku/>
                                        <w:wordWrap/>
                                        <w:overflowPunct/>
                                        <w:topLinePunct w:val="0"/>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保险经纪公司</w:t>
                                      </w:r>
                                    </w:p>
                                  </w:txbxContent>
                                </wps:txbx>
                                <wps:bodyPr lIns="46800" tIns="46800" rIns="46800" bIns="46800" anchor="ctr" anchorCtr="0" upright="0"/>
                              </wps:wsp>
                              <wpg:grpSp>
                                <wpg:cNvPr id="89" name="组合 90"/>
                                <wpg:cNvGrpSpPr/>
                                <wpg:grpSpPr>
                                  <a:xfrm>
                                    <a:off x="3277" y="1847"/>
                                    <a:ext cx="8146" cy="13659"/>
                                    <a:chOff x="3277" y="1860"/>
                                    <a:chExt cx="8146" cy="13659"/>
                                  </a:xfrm>
                                </wpg:grpSpPr>
                                <wps:wsp>
                                  <wps:cNvPr id="51" name="肘形连接符 51"/>
                                  <wps:cNvCnPr>
                                    <a:endCxn id="54" idx="1"/>
                                  </wps:cNvCnPr>
                                  <wps:spPr>
                                    <a:xfrm rot="5400000" flipV="1">
                                      <a:off x="3384" y="12159"/>
                                      <a:ext cx="4014" cy="2085"/>
                                    </a:xfrm>
                                    <a:prstGeom prst="bentConnector2">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52" name="肘形连接符 52"/>
                                  <wps:cNvCnPr>
                                    <a:stCxn id="70" idx="3"/>
                                    <a:endCxn id="62" idx="0"/>
                                  </wps:cNvCnPr>
                                  <wps:spPr>
                                    <a:xfrm>
                                      <a:off x="8071" y="13623"/>
                                      <a:ext cx="2489" cy="1358"/>
                                    </a:xfrm>
                                    <a:prstGeom prst="bentConnector2">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53" name="肘形连接符 53"/>
                                  <wps:cNvCnPr>
                                    <a:stCxn id="60" idx="3"/>
                                    <a:endCxn id="68" idx="0"/>
                                  </wps:cNvCnPr>
                                  <wps:spPr>
                                    <a:xfrm>
                                      <a:off x="9242" y="9064"/>
                                      <a:ext cx="219" cy="1500"/>
                                    </a:xfrm>
                                    <a:prstGeom prst="bentConnector2">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54" name="肘形连接符 54"/>
                                  <wps:cNvCnPr>
                                    <a:stCxn id="60" idx="1"/>
                                    <a:endCxn id="59" idx="0"/>
                                  </wps:cNvCnPr>
                                  <wps:spPr>
                                    <a:xfrm rot="10800000" flipV="1">
                                      <a:off x="4374" y="9064"/>
                                      <a:ext cx="883" cy="1566"/>
                                    </a:xfrm>
                                    <a:prstGeom prst="bentConnector2">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55" name="矩形 55"/>
                                  <wps:cNvSpPr/>
                                  <wps:spPr>
                                    <a:xfrm>
                                      <a:off x="6160" y="1860"/>
                                      <a:ext cx="2072" cy="8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EA006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接到法院传票</w:t>
                                        </w:r>
                                      </w:p>
                                      <w:p w14:paraId="718F036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医院报案</w:t>
                                        </w:r>
                                      </w:p>
                                    </w:txbxContent>
                                  </wps:txbx>
                                  <wps:bodyPr lIns="46800" tIns="46800" rIns="46800" bIns="46800" anchor="ctr" anchorCtr="0" upright="0"/>
                                </wps:wsp>
                                <wps:wsp>
                                  <wps:cNvPr id="56" name="矩形 56"/>
                                  <wps:cNvSpPr/>
                                  <wps:spPr>
                                    <a:xfrm>
                                      <a:off x="3277" y="3220"/>
                                      <a:ext cx="1723" cy="5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7D56B1">
                                        <w:pPr>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保险公司</w:t>
                                        </w:r>
                                      </w:p>
                                    </w:txbxContent>
                                  </wps:txbx>
                                  <wps:bodyPr lIns="46800" tIns="46800" rIns="46800" bIns="46800" anchor="ctr" anchorCtr="0" upright="0"/>
                                </wps:wsp>
                                <wps:wsp>
                                  <wps:cNvPr id="57" name="矩形 57"/>
                                  <wps:cNvSpPr/>
                                  <wps:spPr>
                                    <a:xfrm>
                                      <a:off x="4009" y="4677"/>
                                      <a:ext cx="2433" cy="1627"/>
                                    </a:xfrm>
                                    <a:prstGeom prst="rect">
                                      <a:avLst/>
                                    </a:prstGeom>
                                    <a:solidFill>
                                      <a:srgbClr val="FFFFFF"/>
                                    </a:solidFill>
                                    <a:ln w="12700" cap="flat" cmpd="sng">
                                      <a:solidFill>
                                        <a:srgbClr val="000000"/>
                                      </a:solidFill>
                                      <a:prstDash val="dash"/>
                                      <a:miter/>
                                      <a:headEnd type="none" w="med" len="med"/>
                                      <a:tailEnd type="none" w="med" len="med"/>
                                    </a:ln>
                                  </wps:spPr>
                                  <wps:txbx>
                                    <w:txbxContent>
                                      <w:p w14:paraId="3D5804D6">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推荐律师复核确认</w:t>
                                        </w:r>
                                      </w:p>
                                      <w:p w14:paraId="1710B2D9">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核定律师费</w:t>
                                        </w:r>
                                      </w:p>
                                      <w:p w14:paraId="34AD1C44">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三方合同审核</w:t>
                                        </w:r>
                                      </w:p>
                                      <w:p w14:paraId="13A9C388">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签订三方委托代理合同</w:t>
                                        </w:r>
                                      </w:p>
                                    </w:txbxContent>
                                  </wps:txbx>
                                  <wps:bodyPr lIns="46800" tIns="46800" rIns="46800" bIns="46800" anchor="ctr" anchorCtr="0" upright="0"/>
                                </wps:wsp>
                                <wps:wsp>
                                  <wps:cNvPr id="58" name="矩形 58"/>
                                  <wps:cNvSpPr/>
                                  <wps:spPr>
                                    <a:xfrm>
                                      <a:off x="6292" y="7102"/>
                                      <a:ext cx="1873" cy="48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4D37FB">
                                        <w:pPr>
                                          <w:jc w:val="center"/>
                                          <w:rPr>
                                            <w:rFonts w:hint="eastAsia" w:ascii="宋体" w:hAnsi="宋体" w:eastAsia="宋体" w:cs="宋体"/>
                                            <w:sz w:val="20"/>
                                            <w:szCs w:val="20"/>
                                          </w:rPr>
                                        </w:pPr>
                                        <w:r>
                                          <w:rPr>
                                            <w:rFonts w:hint="eastAsia" w:ascii="宋体" w:hAnsi="宋体" w:eastAsia="宋体" w:cs="宋体"/>
                                            <w:sz w:val="20"/>
                                            <w:szCs w:val="20"/>
                                          </w:rPr>
                                          <w:t>案件评估</w:t>
                                        </w:r>
                                      </w:p>
                                    </w:txbxContent>
                                  </wps:txbx>
                                  <wps:bodyPr lIns="46800" tIns="46800" rIns="46800" bIns="46800" anchor="ctr" anchorCtr="0" upright="0"/>
                                </wps:wsp>
                                <wps:wsp>
                                  <wps:cNvPr id="59" name="矩形 59"/>
                                  <wps:cNvSpPr/>
                                  <wps:spPr>
                                    <a:xfrm>
                                      <a:off x="3488" y="10630"/>
                                      <a:ext cx="1772" cy="58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12B7A2">
                                        <w:pPr>
                                          <w:jc w:val="center"/>
                                          <w:rPr>
                                            <w:rFonts w:hint="eastAsia" w:ascii="宋体" w:hAnsi="宋体" w:eastAsia="宋体" w:cs="宋体"/>
                                            <w:sz w:val="20"/>
                                            <w:szCs w:val="20"/>
                                          </w:rPr>
                                        </w:pPr>
                                        <w:r>
                                          <w:rPr>
                                            <w:rFonts w:hint="eastAsia" w:ascii="宋体" w:hAnsi="宋体" w:eastAsia="宋体" w:cs="宋体"/>
                                            <w:sz w:val="20"/>
                                            <w:szCs w:val="20"/>
                                          </w:rPr>
                                          <w:t>调解/和解意向</w:t>
                                        </w:r>
                                      </w:p>
                                    </w:txbxContent>
                                  </wps:txbx>
                                  <wps:bodyPr lIns="46800" tIns="46800" rIns="46800" bIns="46800" anchor="ctr" anchorCtr="0" upright="0"/>
                                </wps:wsp>
                                <wps:wsp>
                                  <wps:cNvPr id="60" name="矩形 60"/>
                                  <wps:cNvSpPr/>
                                  <wps:spPr>
                                    <a:xfrm>
                                      <a:off x="5257" y="8422"/>
                                      <a:ext cx="3985" cy="1285"/>
                                    </a:xfrm>
                                    <a:prstGeom prst="rect">
                                      <a:avLst/>
                                    </a:prstGeom>
                                    <a:solidFill>
                                      <a:srgbClr val="FFFFFF"/>
                                    </a:solidFill>
                                    <a:ln w="12700" cap="flat" cmpd="sng">
                                      <a:solidFill>
                                        <a:srgbClr val="000000"/>
                                      </a:solidFill>
                                      <a:prstDash val="dash"/>
                                      <a:miter/>
                                      <a:headEnd type="none" w="med" len="med"/>
                                      <a:tailEnd type="none" w="med" len="med"/>
                                    </a:ln>
                                  </wps:spPr>
                                  <wps:txbx>
                                    <w:txbxContent>
                                      <w:p w14:paraId="4E3BB77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0"/>
                                            <w:szCs w:val="20"/>
                                            <w:lang w:val="en-US" w:eastAsia="zh-CN"/>
                                          </w:rPr>
                                        </w:pPr>
                                        <w:r>
                                          <w:rPr>
                                            <w:rFonts w:hint="eastAsia" w:ascii="宋体" w:hAnsi="宋体" w:eastAsia="宋体" w:cs="宋体"/>
                                            <w:sz w:val="20"/>
                                            <w:szCs w:val="20"/>
                                          </w:rPr>
                                          <w:t>案件评估（根据案件复杂程度）</w:t>
                                        </w:r>
                                        <w:r>
                                          <w:rPr>
                                            <w:rFonts w:hint="eastAsia" w:ascii="宋体" w:hAnsi="宋体" w:eastAsia="宋体" w:cs="宋体"/>
                                            <w:sz w:val="20"/>
                                            <w:szCs w:val="20"/>
                                            <w:lang w:eastAsia="zh-CN"/>
                                          </w:rPr>
                                          <w:t>：</w:t>
                                        </w:r>
                                      </w:p>
                                      <w:p w14:paraId="3681A2D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0"/>
                                            <w:szCs w:val="20"/>
                                          </w:rPr>
                                        </w:pPr>
                                        <w:r>
                                          <w:rPr>
                                            <w:rFonts w:hint="eastAsia" w:ascii="宋体" w:hAnsi="宋体" w:eastAsia="宋体" w:cs="宋体"/>
                                            <w:sz w:val="20"/>
                                            <w:szCs w:val="20"/>
                                          </w:rPr>
                                          <w:t>1、医学专家案件分析</w:t>
                                        </w:r>
                                      </w:p>
                                      <w:p w14:paraId="3C04B95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0"/>
                                            <w:szCs w:val="20"/>
                                          </w:rPr>
                                        </w:pPr>
                                        <w:r>
                                          <w:rPr>
                                            <w:rFonts w:hint="eastAsia" w:ascii="宋体" w:hAnsi="宋体" w:eastAsia="宋体" w:cs="宋体"/>
                                            <w:sz w:val="20"/>
                                            <w:szCs w:val="20"/>
                                          </w:rPr>
                                          <w:t>2、诉讼案件风险评估小组案件分析评估</w:t>
                                        </w:r>
                                      </w:p>
                                    </w:txbxContent>
                                  </wps:txbx>
                                  <wps:bodyPr lIns="46800" tIns="46800" rIns="46800" bIns="46800" anchor="ctr" anchorCtr="0" upright="0"/>
                                </wps:wsp>
                                <wps:wsp>
                                  <wps:cNvPr id="61" name="矩形 61"/>
                                  <wps:cNvSpPr/>
                                  <wps:spPr>
                                    <a:xfrm>
                                      <a:off x="9560" y="13328"/>
                                      <a:ext cx="1863" cy="89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D09EBB">
                                        <w:pPr>
                                          <w:jc w:val="center"/>
                                          <w:rPr>
                                            <w:rFonts w:hint="eastAsia" w:ascii="宋体" w:hAnsi="宋体" w:eastAsia="宋体" w:cs="宋体"/>
                                            <w:sz w:val="20"/>
                                            <w:szCs w:val="20"/>
                                          </w:rPr>
                                        </w:pPr>
                                        <w:r>
                                          <w:rPr>
                                            <w:rFonts w:hint="eastAsia" w:ascii="宋体" w:hAnsi="宋体" w:eastAsia="宋体" w:cs="宋体"/>
                                            <w:sz w:val="20"/>
                                            <w:szCs w:val="20"/>
                                          </w:rPr>
                                          <w:t>二审应诉</w:t>
                                        </w:r>
                                      </w:p>
                                      <w:p w14:paraId="5567EE41">
                                        <w:pPr>
                                          <w:jc w:val="center"/>
                                          <w:rPr>
                                            <w:rFonts w:hint="eastAsia" w:ascii="宋体" w:hAnsi="宋体" w:eastAsia="宋体" w:cs="宋体"/>
                                            <w:sz w:val="20"/>
                                            <w:szCs w:val="20"/>
                                          </w:rPr>
                                        </w:pPr>
                                        <w:r>
                                          <w:rPr>
                                            <w:rFonts w:hint="eastAsia" w:ascii="宋体" w:hAnsi="宋体" w:eastAsia="宋体" w:cs="宋体"/>
                                            <w:sz w:val="20"/>
                                            <w:szCs w:val="20"/>
                                          </w:rPr>
                                          <w:t>（流程参考一审）</w:t>
                                        </w:r>
                                      </w:p>
                                    </w:txbxContent>
                                  </wps:txbx>
                                  <wps:bodyPr lIns="46800" tIns="46800" rIns="46800" bIns="46800" anchor="ctr" anchorCtr="0" upright="0"/>
                                </wps:wsp>
                                <wps:wsp>
                                  <wps:cNvPr id="62" name="矩形 62"/>
                                  <wps:cNvSpPr/>
                                  <wps:spPr>
                                    <a:xfrm>
                                      <a:off x="9763" y="14981"/>
                                      <a:ext cx="1593" cy="4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42E331">
                                        <w:pPr>
                                          <w:jc w:val="center"/>
                                          <w:rPr>
                                            <w:rFonts w:hint="eastAsia" w:ascii="宋体" w:hAnsi="宋体" w:eastAsia="宋体" w:cs="宋体"/>
                                            <w:sz w:val="20"/>
                                            <w:szCs w:val="20"/>
                                          </w:rPr>
                                        </w:pPr>
                                        <w:r>
                                          <w:rPr>
                                            <w:rFonts w:hint="eastAsia" w:ascii="宋体" w:hAnsi="宋体" w:eastAsia="宋体" w:cs="宋体"/>
                                            <w:sz w:val="20"/>
                                            <w:szCs w:val="20"/>
                                          </w:rPr>
                                          <w:t>二审裁判</w:t>
                                        </w:r>
                                      </w:p>
                                    </w:txbxContent>
                                  </wps:txbx>
                                  <wps:bodyPr lIns="46800" tIns="46800" rIns="46800" bIns="46800" anchor="ctr" anchorCtr="0" upright="0"/>
                                </wps:wsp>
                                <wps:wsp>
                                  <wps:cNvPr id="63" name="矩形 63"/>
                                  <wps:cNvSpPr/>
                                  <wps:spPr>
                                    <a:xfrm>
                                      <a:off x="6458" y="14946"/>
                                      <a:ext cx="2042" cy="57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76B74C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保险核定并赔付</w:t>
                                        </w:r>
                                      </w:p>
                                    </w:txbxContent>
                                  </wps:txbx>
                                  <wps:bodyPr lIns="46800" tIns="46800" rIns="46800" bIns="46800" anchor="ctr" anchorCtr="0" upright="0"/>
                                </wps:wsp>
                                <wps:wsp>
                                  <wps:cNvPr id="64" name="矩形 64"/>
                                  <wps:cNvSpPr/>
                                  <wps:spPr>
                                    <a:xfrm>
                                      <a:off x="8115" y="4626"/>
                                      <a:ext cx="2731" cy="1627"/>
                                    </a:xfrm>
                                    <a:prstGeom prst="rect">
                                      <a:avLst/>
                                    </a:prstGeom>
                                    <a:solidFill>
                                      <a:srgbClr val="FFFFFF"/>
                                    </a:solidFill>
                                    <a:ln w="12700" cap="flat" cmpd="sng">
                                      <a:solidFill>
                                        <a:srgbClr val="000000"/>
                                      </a:solidFill>
                                      <a:prstDash val="dash"/>
                                      <a:miter/>
                                      <a:headEnd type="none" w="med" len="med"/>
                                      <a:tailEnd type="none" w="med" len="med"/>
                                    </a:ln>
                                  </wps:spPr>
                                  <wps:txbx>
                                    <w:txbxContent>
                                      <w:p w14:paraId="30BB40E0">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联系医疗机构：</w:t>
                                        </w:r>
                                      </w:p>
                                      <w:p w14:paraId="62C6980F">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案件是否曾调解？</w:t>
                                        </w:r>
                                      </w:p>
                                      <w:p w14:paraId="749D4B7A">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案件是否曾鉴定？</w:t>
                                        </w:r>
                                      </w:p>
                                      <w:p w14:paraId="4137E213">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医院是否需要指派律师？</w:t>
                                        </w:r>
                                      </w:p>
                                      <w:p w14:paraId="6F4CA3B0">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告知及发送材料清单？</w:t>
                                        </w:r>
                                      </w:p>
                                    </w:txbxContent>
                                  </wps:txbx>
                                  <wps:bodyPr lIns="46800" tIns="46800" rIns="46800" bIns="46800" anchor="ctr" anchorCtr="0" upright="0"/>
                                </wps:wsp>
                                <wps:wsp>
                                  <wps:cNvPr id="65" name="矩形 65"/>
                                  <wps:cNvSpPr/>
                                  <wps:spPr>
                                    <a:xfrm>
                                      <a:off x="9307" y="3255"/>
                                      <a:ext cx="1712"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AB4EE5">
                                        <w:pPr>
                                          <w:keepNext w:val="0"/>
                                          <w:keepLines w:val="0"/>
                                          <w:pageBreakBefore w:val="0"/>
                                          <w:widowControl w:val="0"/>
                                          <w:kinsoku/>
                                          <w:wordWrap/>
                                          <w:overflowPunct/>
                                          <w:topLinePunct w:val="0"/>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医疗机构</w:t>
                                        </w:r>
                                      </w:p>
                                    </w:txbxContent>
                                  </wps:txbx>
                                  <wps:bodyPr lIns="46800" tIns="46800" rIns="46800" bIns="46800" anchor="ctr" anchorCtr="0" upright="0"/>
                                </wps:wsp>
                                <wps:wsp>
                                  <wps:cNvPr id="68" name="矩形 68"/>
                                  <wps:cNvSpPr/>
                                  <wps:spPr>
                                    <a:xfrm>
                                      <a:off x="7925" y="10563"/>
                                      <a:ext cx="3071" cy="65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34650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选定鉴定机构，进入鉴定程序</w:t>
                                        </w:r>
                                      </w:p>
                                    </w:txbxContent>
                                  </wps:txbx>
                                  <wps:bodyPr lIns="46800" tIns="46800" rIns="46800" bIns="46800" anchor="ctr" anchorCtr="0" upright="0"/>
                                </wps:wsp>
                                <wps:wsp>
                                  <wps:cNvPr id="69" name="矩形 69"/>
                                  <wps:cNvSpPr/>
                                  <wps:spPr>
                                    <a:xfrm>
                                      <a:off x="8744" y="12007"/>
                                      <a:ext cx="1452" cy="51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5985A5">
                                        <w:pPr>
                                          <w:keepNext w:val="0"/>
                                          <w:keepLines w:val="0"/>
                                          <w:pageBreakBefore w:val="0"/>
                                          <w:widowControl w:val="0"/>
                                          <w:kinsoku/>
                                          <w:wordWrap/>
                                          <w:overflowPunct/>
                                          <w:topLinePunct w:val="0"/>
                                          <w:autoSpaceDE/>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一审判决</w:t>
                                        </w:r>
                                      </w:p>
                                    </w:txbxContent>
                                  </wps:txbx>
                                  <wps:bodyPr lIns="46800" tIns="46800" rIns="46800" bIns="46800" anchor="ctr" anchorCtr="0" upright="0"/>
                                </wps:wsp>
                                <wps:wsp>
                                  <wps:cNvPr id="70" name="流程图: 决策 70"/>
                                  <wps:cNvSpPr/>
                                  <wps:spPr>
                                    <a:xfrm>
                                      <a:off x="6894" y="13174"/>
                                      <a:ext cx="1177" cy="898"/>
                                    </a:xfrm>
                                    <a:prstGeom prst="roundRect">
                                      <a:avLst/>
                                    </a:prstGeom>
                                    <a:solidFill>
                                      <a:srgbClr val="FFFFFF"/>
                                    </a:solidFill>
                                    <a:ln w="19050" cap="flat" cmpd="sng">
                                      <a:solidFill>
                                        <a:srgbClr val="000000"/>
                                      </a:solidFill>
                                      <a:prstDash val="solid"/>
                                      <a:miter/>
                                      <a:headEnd type="none" w="med" len="med"/>
                                      <a:tailEnd type="none" w="med" len="med"/>
                                    </a:ln>
                                  </wps:spPr>
                                  <wps:txbx>
                                    <w:txbxContent>
                                      <w:p w14:paraId="4393A30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0"/>
                                            <w:szCs w:val="20"/>
                                          </w:rPr>
                                        </w:pPr>
                                        <w:r>
                                          <w:rPr>
                                            <w:rFonts w:hint="eastAsia" w:ascii="宋体" w:hAnsi="宋体" w:eastAsia="宋体" w:cs="宋体"/>
                                            <w:sz w:val="20"/>
                                            <w:szCs w:val="20"/>
                                          </w:rPr>
                                          <w:t>是否上诉</w:t>
                                        </w:r>
                                      </w:p>
                                    </w:txbxContent>
                                  </wps:txbx>
                                  <wps:bodyPr lIns="46800" tIns="46800" rIns="46800" bIns="46800" anchor="ctr" anchorCtr="0" upright="0"/>
                                </wps:wsp>
                                <wps:wsp>
                                  <wps:cNvPr id="71" name="肘形连接符 71"/>
                                  <wps:cNvCnPr>
                                    <a:endCxn id="64" idx="1"/>
                                  </wps:cNvCnPr>
                                  <wps:spPr>
                                    <a:xfrm rot="5400000" flipV="1">
                                      <a:off x="6981" y="4304"/>
                                      <a:ext cx="1675" cy="593"/>
                                    </a:xfrm>
                                    <a:prstGeom prst="bentConnector2">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72" name="肘形连接符 72"/>
                                  <wps:cNvCnPr>
                                    <a:stCxn id="64" idx="3"/>
                                    <a:endCxn id="65" idx="3"/>
                                  </wps:cNvCnPr>
                                  <wps:spPr>
                                    <a:xfrm flipV="1">
                                      <a:off x="10846" y="3487"/>
                                      <a:ext cx="173" cy="1953"/>
                                    </a:xfrm>
                                    <a:prstGeom prst="bentConnector3">
                                      <a:avLst>
                                        <a:gd name="adj1" fmla="val 319133"/>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73" name="直接箭头连接符 73"/>
                                  <wps:cNvCnPr>
                                    <a:stCxn id="65" idx="1"/>
                                    <a:endCxn id="50" idx="3"/>
                                  </wps:cNvCnPr>
                                  <wps:spPr>
                                    <a:xfrm flipH="1">
                                      <a:off x="8334" y="3487"/>
                                      <a:ext cx="973" cy="7"/>
                                    </a:xfrm>
                                    <a:prstGeom prst="straightConnector1">
                                      <a:avLst/>
                                    </a:prstGeom>
                                    <a:ln w="9525" cap="flat" cmpd="sng">
                                      <a:solidFill>
                                        <a:srgbClr val="000000"/>
                                      </a:solidFill>
                                      <a:prstDash val="solid"/>
                                      <a:headEnd type="none" w="med" len="med"/>
                                      <a:tailEnd type="triangle" w="med" len="med"/>
                                    </a:ln>
                                  </wps:spPr>
                                  <wps:bodyPr lIns="46800" tIns="46800" rIns="46800" bIns="46800" anchor="ctr" anchorCtr="0" upright="0"/>
                                </wps:wsp>
                                <wps:wsp>
                                  <wps:cNvPr id="74" name="肘形连接符 74"/>
                                  <wps:cNvCnPr>
                                    <a:stCxn id="56" idx="1"/>
                                    <a:endCxn id="57" idx="1"/>
                                  </wps:cNvCnPr>
                                  <wps:spPr>
                                    <a:xfrm rot="10800000" flipH="1" flipV="1">
                                      <a:off x="3277" y="3480"/>
                                      <a:ext cx="732" cy="2011"/>
                                    </a:xfrm>
                                    <a:prstGeom prst="bentConnector3">
                                      <a:avLst>
                                        <a:gd name="adj1" fmla="val -51906"/>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75" name="肘形连接符 75"/>
                                  <wps:cNvCnPr>
                                    <a:stCxn id="57" idx="3"/>
                                  </wps:cNvCnPr>
                                  <wps:spPr>
                                    <a:xfrm flipV="1">
                                      <a:off x="6442" y="3769"/>
                                      <a:ext cx="502" cy="1721"/>
                                    </a:xfrm>
                                    <a:prstGeom prst="bentConnector2">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76" name="直接箭头连接符 76"/>
                                  <wps:cNvCnPr>
                                    <a:stCxn id="50" idx="1"/>
                                    <a:endCxn id="56" idx="3"/>
                                  </wps:cNvCnPr>
                                  <wps:spPr>
                                    <a:xfrm flipH="1" flipV="1">
                                      <a:off x="5000" y="3480"/>
                                      <a:ext cx="1267" cy="14"/>
                                    </a:xfrm>
                                    <a:prstGeom prst="straightConnector1">
                                      <a:avLst/>
                                    </a:prstGeom>
                                    <a:ln w="9525" cap="flat" cmpd="sng">
                                      <a:solidFill>
                                        <a:srgbClr val="000000"/>
                                      </a:solidFill>
                                      <a:prstDash val="solid"/>
                                      <a:headEnd type="none" w="med" len="med"/>
                                      <a:tailEnd type="triangle" w="med" len="med"/>
                                    </a:ln>
                                  </wps:spPr>
                                  <wps:bodyPr lIns="46800" tIns="46800" rIns="46800" bIns="46800" anchor="ctr" anchorCtr="0" upright="0"/>
                                </wps:wsp>
                                <wps:wsp>
                                  <wps:cNvPr id="77" name="直接箭头连接符 77"/>
                                  <wps:cNvCnPr>
                                    <a:stCxn id="58" idx="2"/>
                                    <a:endCxn id="60" idx="0"/>
                                  </wps:cNvCnPr>
                                  <wps:spPr>
                                    <a:xfrm>
                                      <a:off x="7229" y="7590"/>
                                      <a:ext cx="20" cy="832"/>
                                    </a:xfrm>
                                    <a:prstGeom prst="straightConnector1">
                                      <a:avLst/>
                                    </a:prstGeom>
                                    <a:ln w="9525" cap="flat" cmpd="sng">
                                      <a:solidFill>
                                        <a:srgbClr val="000000"/>
                                      </a:solidFill>
                                      <a:prstDash val="solid"/>
                                      <a:headEnd type="none" w="med" len="med"/>
                                      <a:tailEnd type="triangle" w="med" len="med"/>
                                    </a:ln>
                                  </wps:spPr>
                                  <wps:bodyPr lIns="46800" tIns="46800" rIns="46800" bIns="46800" anchor="ctr" anchorCtr="0" upright="0"/>
                                </wps:wsp>
                                <wps:wsp>
                                  <wps:cNvPr id="78" name="肘形连接符 78"/>
                                  <wps:cNvCnPr>
                                    <a:stCxn id="69" idx="1"/>
                                    <a:endCxn id="70" idx="0"/>
                                  </wps:cNvCnPr>
                                  <wps:spPr>
                                    <a:xfrm rot="10800000" flipV="1">
                                      <a:off x="7483" y="12265"/>
                                      <a:ext cx="1261" cy="909"/>
                                    </a:xfrm>
                                    <a:prstGeom prst="bentConnector2">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79" name="直接箭头连接符 79"/>
                                  <wps:cNvCnPr>
                                    <a:stCxn id="62" idx="1"/>
                                    <a:endCxn id="63" idx="3"/>
                                  </wps:cNvCnPr>
                                  <wps:spPr>
                                    <a:xfrm flipH="1">
                                      <a:off x="8501" y="15218"/>
                                      <a:ext cx="1262" cy="15"/>
                                    </a:xfrm>
                                    <a:prstGeom prst="straightConnector1">
                                      <a:avLst/>
                                    </a:prstGeom>
                                    <a:ln w="9525" cap="flat" cmpd="sng">
                                      <a:solidFill>
                                        <a:srgbClr val="000000"/>
                                      </a:solidFill>
                                      <a:prstDash val="solid"/>
                                      <a:headEnd type="none" w="med" len="med"/>
                                      <a:tailEnd type="triangle" w="med" len="med"/>
                                    </a:ln>
                                  </wps:spPr>
                                  <wps:bodyPr lIns="46800" tIns="46800" rIns="46800" bIns="46800" anchor="ctr" anchorCtr="0" upright="0"/>
                                </wps:wsp>
                                <wps:wsp>
                                  <wps:cNvPr id="80" name="文本框 80"/>
                                  <wps:cNvSpPr txBox="1"/>
                                  <wps:spPr>
                                    <a:xfrm>
                                      <a:off x="8875" y="13101"/>
                                      <a:ext cx="397" cy="439"/>
                                    </a:xfrm>
                                    <a:prstGeom prst="rect">
                                      <a:avLst/>
                                    </a:prstGeom>
                                    <a:noFill/>
                                    <a:ln w="6350" cap="flat" cmpd="sng">
                                      <a:noFill/>
                                      <a:prstDash val="solid"/>
                                      <a:round/>
                                      <a:headEnd type="none" w="med" len="med"/>
                                      <a:tailEnd type="none" w="med" len="med"/>
                                    </a:ln>
                                  </wps:spPr>
                                  <wps:txbx>
                                    <w:txbxContent>
                                      <w:p w14:paraId="074CA592">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是</w:t>
                                        </w:r>
                                      </w:p>
                                    </w:txbxContent>
                                  </wps:txbx>
                                  <wps:bodyPr lIns="46800" tIns="46800" rIns="46800" bIns="46800" anchor="ctr" anchorCtr="0" upright="0"/>
                                </wps:wsp>
                                <wps:wsp>
                                  <wps:cNvPr id="81" name="文本框 81"/>
                                  <wps:cNvSpPr txBox="1"/>
                                  <wps:spPr>
                                    <a:xfrm>
                                      <a:off x="7895" y="14177"/>
                                      <a:ext cx="459" cy="513"/>
                                    </a:xfrm>
                                    <a:prstGeom prst="rect">
                                      <a:avLst/>
                                    </a:prstGeom>
                                    <a:solidFill>
                                      <a:srgbClr val="FFFFFF"/>
                                    </a:solidFill>
                                    <a:ln w="6350" cap="flat" cmpd="sng">
                                      <a:solidFill>
                                        <a:srgbClr val="FFFFFF"/>
                                      </a:solidFill>
                                      <a:prstDash val="solid"/>
                                      <a:round/>
                                      <a:headEnd type="none" w="med" len="med"/>
                                      <a:tailEnd type="none" w="med" len="med"/>
                                    </a:ln>
                                  </wps:spPr>
                                  <wps:txbx>
                                    <w:txbxContent>
                                      <w:p w14:paraId="545ECCCF">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否</w:t>
                                        </w:r>
                                      </w:p>
                                    </w:txbxContent>
                                  </wps:txbx>
                                  <wps:bodyPr lIns="46800" tIns="46800" rIns="46800" bIns="46800" anchor="ctr" anchorCtr="0" upright="0"/>
                                </wps:wsp>
                                <wps:wsp>
                                  <wps:cNvPr id="83" name="直接箭头连接符 83"/>
                                  <wps:cNvCnPr>
                                    <a:stCxn id="68" idx="2"/>
                                    <a:endCxn id="69" idx="0"/>
                                  </wps:cNvCnPr>
                                  <wps:spPr>
                                    <a:xfrm>
                                      <a:off x="9461" y="11214"/>
                                      <a:ext cx="9" cy="792"/>
                                    </a:xfrm>
                                    <a:prstGeom prst="straightConnector1">
                                      <a:avLst/>
                                    </a:prstGeom>
                                    <a:ln w="9525" cap="flat" cmpd="sng">
                                      <a:solidFill>
                                        <a:srgbClr val="000000"/>
                                      </a:solidFill>
                                      <a:prstDash val="solid"/>
                                      <a:headEnd type="none" w="med" len="med"/>
                                      <a:tailEnd type="triangle" w="med" len="med"/>
                                    </a:ln>
                                  </wps:spPr>
                                  <wps:bodyPr lIns="46800" tIns="46800" rIns="46800" bIns="46800" anchor="ctr" anchorCtr="0" upright="0"/>
                                </wps:wsp>
                                <wps:wsp>
                                  <wps:cNvPr id="93" name="肘形连接符 86"/>
                                  <wps:cNvCnPr>
                                    <a:stCxn id="94" idx="3"/>
                                    <a:endCxn id="68" idx="1"/>
                                  </wps:cNvCnPr>
                                  <wps:spPr>
                                    <a:xfrm flipV="1">
                                      <a:off x="4960" y="10888"/>
                                      <a:ext cx="2965" cy="2835"/>
                                    </a:xfrm>
                                    <a:prstGeom prst="bentConnector3">
                                      <a:avLst>
                                        <a:gd name="adj1" fmla="val 34657"/>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94" name="直接箭头连接符 87"/>
                                  <wps:cNvCnPr/>
                                  <wps:spPr>
                                    <a:xfrm flipH="1" flipV="1">
                                      <a:off x="5338" y="10739"/>
                                      <a:ext cx="2598" cy="21"/>
                                    </a:xfrm>
                                    <a:prstGeom prst="straightConnector1">
                                      <a:avLst/>
                                    </a:prstGeom>
                                    <a:ln w="9525" cap="flat" cmpd="sng">
                                      <a:solidFill>
                                        <a:srgbClr val="000000"/>
                                      </a:solidFill>
                                      <a:prstDash val="solid"/>
                                      <a:headEnd type="none" w="med" len="med"/>
                                      <a:tailEnd type="triangle" w="med" len="med"/>
                                    </a:ln>
                                  </wps:spPr>
                                  <wps:bodyPr lIns="46800" tIns="46800" rIns="46800" bIns="46800" anchor="ctr" anchorCtr="0" upright="0"/>
                                </wps:wsp>
                                <wps:wsp>
                                  <wps:cNvPr id="96" name="文本框 88"/>
                                  <wps:cNvSpPr txBox="1"/>
                                  <wps:spPr>
                                    <a:xfrm>
                                      <a:off x="5466" y="12435"/>
                                      <a:ext cx="407" cy="580"/>
                                    </a:xfrm>
                                    <a:prstGeom prst="rect">
                                      <a:avLst/>
                                    </a:prstGeom>
                                    <a:noFill/>
                                    <a:ln w="6350" cap="flat" cmpd="sng">
                                      <a:solidFill>
                                        <a:srgbClr val="FFFFFF"/>
                                      </a:solidFill>
                                      <a:prstDash val="solid"/>
                                      <a:round/>
                                      <a:headEnd type="none" w="med" len="med"/>
                                      <a:tailEnd type="none" w="med" len="med"/>
                                    </a:ln>
                                  </wps:spPr>
                                  <wps:txbx>
                                    <w:txbxContent>
                                      <w:p w14:paraId="22BF957E">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否</w:t>
                                        </w:r>
                                      </w:p>
                                    </w:txbxContent>
                                  </wps:txbx>
                                  <wps:bodyPr lIns="46800" tIns="46800" rIns="46800" bIns="46800" anchor="ctr" anchorCtr="0" upright="0"/>
                                </wps:wsp>
                                <wps:wsp>
                                  <wps:cNvPr id="98" name="文本框 89"/>
                                  <wps:cNvSpPr txBox="1"/>
                                  <wps:spPr>
                                    <a:xfrm>
                                      <a:off x="4383" y="14391"/>
                                      <a:ext cx="491" cy="506"/>
                                    </a:xfrm>
                                    <a:prstGeom prst="rect">
                                      <a:avLst/>
                                    </a:prstGeom>
                                    <a:solidFill>
                                      <a:srgbClr val="FFFFFF"/>
                                    </a:solidFill>
                                    <a:ln w="6350" cap="flat" cmpd="sng">
                                      <a:solidFill>
                                        <a:srgbClr val="FFFFFF"/>
                                      </a:solidFill>
                                      <a:prstDash val="solid"/>
                                      <a:round/>
                                      <a:headEnd type="none" w="med" len="med"/>
                                      <a:tailEnd type="none" w="med" len="med"/>
                                    </a:ln>
                                  </wps:spPr>
                                  <wps:txbx>
                                    <w:txbxContent>
                                      <w:p w14:paraId="009443AF">
                                        <w:pPr>
                                          <w:rPr>
                                            <w:rFonts w:hint="eastAsia" w:ascii="宋体" w:hAnsi="宋体" w:eastAsia="宋体" w:cs="宋体"/>
                                            <w:sz w:val="20"/>
                                            <w:szCs w:val="20"/>
                                          </w:rPr>
                                        </w:pPr>
                                        <w:r>
                                          <w:rPr>
                                            <w:rFonts w:hint="eastAsia" w:ascii="宋体" w:hAnsi="宋体" w:eastAsia="宋体" w:cs="宋体"/>
                                            <w:sz w:val="20"/>
                                            <w:szCs w:val="20"/>
                                          </w:rPr>
                                          <w:t>是</w:t>
                                        </w:r>
                                      </w:p>
                                    </w:txbxContent>
                                  </wps:txbx>
                                  <wps:bodyPr lIns="46800" tIns="46800" rIns="46800" bIns="46800" anchor="ctr" anchorCtr="0" upright="0"/>
                                </wps:wsp>
                              </wpg:grpSp>
                            </wpg:grpSp>
                          </wpg:grpSp>
                          <wps:wsp>
                            <wps:cNvPr id="99" name="矩形 93"/>
                            <wps:cNvSpPr/>
                            <wps:spPr>
                              <a:xfrm>
                                <a:off x="3435" y="11865"/>
                                <a:ext cx="1915" cy="90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58EAA2">
                                  <w:pPr>
                                    <w:jc w:val="center"/>
                                    <w:rPr>
                                      <w:rFonts w:hint="eastAsia" w:ascii="宋体" w:hAnsi="宋体" w:eastAsia="宋体" w:cs="宋体"/>
                                      <w:sz w:val="20"/>
                                      <w:szCs w:val="20"/>
                                    </w:rPr>
                                  </w:pPr>
                                  <w:r>
                                    <w:rPr>
                                      <w:rFonts w:hint="eastAsia" w:ascii="宋体" w:hAnsi="宋体" w:eastAsia="宋体" w:cs="宋体"/>
                                      <w:sz w:val="20"/>
                                      <w:szCs w:val="20"/>
                                    </w:rPr>
                                    <w:t>保险公司确认调解/和解方案</w:t>
                                  </w:r>
                                </w:p>
                              </w:txbxContent>
                            </wps:txbx>
                            <wps:bodyPr lIns="46800" tIns="46800" rIns="46800" bIns="46800" anchor="ctr" anchorCtr="0" upright="0"/>
                          </wps:wsp>
                          <wps:wsp>
                            <wps:cNvPr id="100" name="流程图: 决策 94"/>
                            <wps:cNvSpPr/>
                            <wps:spPr>
                              <a:xfrm>
                                <a:off x="3792" y="13262"/>
                                <a:ext cx="1169" cy="897"/>
                              </a:xfrm>
                              <a:prstGeom prst="roundRect">
                                <a:avLst/>
                              </a:prstGeom>
                              <a:solidFill>
                                <a:srgbClr val="FFFFFF"/>
                              </a:solidFill>
                              <a:ln w="19050" cap="flat" cmpd="sng">
                                <a:solidFill>
                                  <a:srgbClr val="000000"/>
                                </a:solidFill>
                                <a:prstDash val="solid"/>
                                <a:miter/>
                                <a:headEnd type="none" w="med" len="med"/>
                                <a:tailEnd type="none" w="med" len="med"/>
                              </a:ln>
                            </wps:spPr>
                            <wps:txbx>
                              <w:txbxContent>
                                <w:p w14:paraId="17F82645">
                                  <w:pPr>
                                    <w:jc w:val="center"/>
                                    <w:rPr>
                                      <w:rFonts w:hint="eastAsia" w:ascii="宋体" w:hAnsi="宋体" w:eastAsia="宋体" w:cs="宋体"/>
                                      <w:sz w:val="20"/>
                                      <w:szCs w:val="20"/>
                                    </w:rPr>
                                  </w:pPr>
                                  <w:r>
                                    <w:rPr>
                                      <w:rFonts w:hint="eastAsia" w:ascii="宋体" w:hAnsi="宋体" w:eastAsia="宋体" w:cs="宋体"/>
                                      <w:sz w:val="20"/>
                                      <w:szCs w:val="20"/>
                                    </w:rPr>
                                    <w:t>是否成功</w:t>
                                  </w:r>
                                </w:p>
                              </w:txbxContent>
                            </wps:txbx>
                            <wps:bodyPr lIns="46800" tIns="46800" rIns="46800" bIns="46800" anchor="ctr" anchorCtr="0" upright="0"/>
                          </wps:wsp>
                        </wpg:grpSp>
                        <wps:wsp>
                          <wps:cNvPr id="101" name="直接箭头连接符 96"/>
                          <wps:cNvCnPr>
                            <a:stCxn id="70" idx="2"/>
                            <a:endCxn id="63" idx="0"/>
                          </wps:cNvCnPr>
                          <wps:spPr>
                            <a:xfrm flipH="1">
                              <a:off x="8171" y="14059"/>
                              <a:ext cx="4" cy="874"/>
                            </a:xfrm>
                            <a:prstGeom prst="straightConnector1">
                              <a:avLst/>
                            </a:prstGeom>
                            <a:ln w="9525" cap="flat" cmpd="sng">
                              <a:solidFill>
                                <a:srgbClr val="000000"/>
                              </a:solidFill>
                              <a:prstDash val="solid"/>
                              <a:headEnd type="none" w="med" len="med"/>
                              <a:tailEnd type="triangle" w="med" len="med"/>
                            </a:ln>
                          </wps:spPr>
                          <wps:bodyPr lIns="46800" tIns="46800" rIns="46800" bIns="46800" anchor="ctr" anchorCtr="0" upright="0"/>
                        </wps:wsp>
                      </wpg:grpSp>
                      <wps:wsp>
                        <wps:cNvPr id="103" name="肘形连接符 98"/>
                        <wps:cNvCnPr>
                          <a:stCxn id="63" idx="2"/>
                          <a:endCxn id="104" idx="0"/>
                        </wps:cNvCnPr>
                        <wps:spPr>
                          <a:xfrm rot="5400000" flipV="1">
                            <a:off x="8208" y="13882"/>
                            <a:ext cx="791" cy="1466"/>
                          </a:xfrm>
                          <a:prstGeom prst="bentConnector3">
                            <a:avLst>
                              <a:gd name="adj1" fmla="val 50066"/>
                            </a:avLst>
                          </a:prstGeom>
                          <a:ln w="9525" cap="flat" cmpd="sng">
                            <a:solidFill>
                              <a:srgbClr val="000000"/>
                            </a:solidFill>
                            <a:prstDash val="solid"/>
                            <a:round/>
                            <a:headEnd type="none" w="med" len="med"/>
                            <a:tailEnd type="triangle" w="med" len="med"/>
                          </a:ln>
                        </wps:spPr>
                        <wps:bodyPr lIns="46800" tIns="46800" rIns="46800" bIns="46800" anchor="ctr" anchorCtr="0" upright="0"/>
                      </wps:wsp>
                      <wps:wsp>
                        <wps:cNvPr id="104" name="文本框 99"/>
                        <wps:cNvSpPr txBox="1"/>
                        <wps:spPr>
                          <a:xfrm>
                            <a:off x="8445" y="15011"/>
                            <a:ext cx="1783" cy="447"/>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7F180112">
                              <w:pPr>
                                <w:jc w:val="center"/>
                                <w:rPr>
                                  <w:rFonts w:hint="eastAsia" w:ascii="宋体" w:hAnsi="宋体" w:eastAsia="宋体" w:cs="宋体"/>
                                  <w:sz w:val="20"/>
                                  <w:szCs w:val="20"/>
                                </w:rPr>
                              </w:pPr>
                              <w:r>
                                <w:rPr>
                                  <w:rFonts w:hint="eastAsia" w:ascii="宋体" w:hAnsi="宋体" w:eastAsia="宋体" w:cs="宋体"/>
                                  <w:sz w:val="20"/>
                                  <w:szCs w:val="20"/>
                                </w:rPr>
                                <w:t>或支付给医院</w:t>
                              </w:r>
                            </w:p>
                          </w:txbxContent>
                        </wps:txbx>
                        <wps:bodyPr lIns="46800" tIns="46800" rIns="46800" bIns="46800" anchor="ctr" anchorCtr="0" upright="0"/>
                      </wps:wsp>
                      <wps:wsp>
                        <wps:cNvPr id="105" name="文本框 100"/>
                        <wps:cNvSpPr txBox="1"/>
                        <wps:spPr>
                          <a:xfrm>
                            <a:off x="5712" y="15006"/>
                            <a:ext cx="1515" cy="495"/>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05076D02">
                              <w:pPr>
                                <w:jc w:val="center"/>
                                <w:rPr>
                                  <w:rFonts w:hint="eastAsia" w:ascii="宋体" w:hAnsi="宋体" w:eastAsia="宋体" w:cs="宋体"/>
                                  <w:sz w:val="20"/>
                                  <w:szCs w:val="20"/>
                                </w:rPr>
                              </w:pPr>
                              <w:r>
                                <w:rPr>
                                  <w:rFonts w:hint="eastAsia" w:ascii="宋体" w:hAnsi="宋体" w:eastAsia="宋体" w:cs="宋体"/>
                                  <w:sz w:val="20"/>
                                  <w:szCs w:val="20"/>
                                </w:rPr>
                                <w:t>支付给患方</w:t>
                              </w:r>
                            </w:p>
                          </w:txbxContent>
                        </wps:txbx>
                        <wps:bodyPr lIns="46800" tIns="46800" rIns="46800" bIns="46800" anchor="ctr" anchorCtr="0" upright="0"/>
                      </wps:wsp>
                      <wps:wsp>
                        <wps:cNvPr id="106" name="肘形连接符 101"/>
                        <wps:cNvCnPr>
                          <a:stCxn id="63" idx="2"/>
                          <a:endCxn id="105" idx="0"/>
                        </wps:cNvCnPr>
                        <wps:spPr>
                          <a:xfrm rot="5400000">
                            <a:off x="6776" y="13912"/>
                            <a:ext cx="787" cy="1401"/>
                          </a:xfrm>
                          <a:prstGeom prst="bentConnector3">
                            <a:avLst>
                              <a:gd name="adj1" fmla="val 50000"/>
                            </a:avLst>
                          </a:prstGeom>
                          <a:ln w="9525" cap="flat" cmpd="sng">
                            <a:solidFill>
                              <a:srgbClr val="000000"/>
                            </a:solidFill>
                            <a:prstDash val="solid"/>
                            <a:round/>
                            <a:headEnd type="none" w="med" len="med"/>
                            <a:tailEnd type="triangle" w="med" len="med"/>
                          </a:ln>
                        </wps:spPr>
                        <wps:bodyPr lIns="46800" tIns="46800" rIns="46800" bIns="46800" anchor="ctr" anchorCtr="0" upright="0"/>
                      </wps:wsp>
                    </wpg:wgp>
                  </a:graphicData>
                </a:graphic>
              </wp:inline>
            </w:drawing>
          </mc:Choice>
          <mc:Fallback>
            <w:pict>
              <v:group id="_x0000_s1026" o:spid="_x0000_s1026" o:spt="203" style="height:656.45pt;width:402.1pt;" coordorigin="3684,1849" coordsize="8116,13652" o:gfxdata="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">
                <o:lock v:ext="edit" aspectratio="f"/>
                <v:group id="组合 97" o:spid="_x0000_s1026" o:spt="203" style="position:absolute;left:3684;top:1849;height:12370;width:8116;" coordorigin="3969,1847" coordsize="8146,13659" o:gfxdata="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pzpwq+AAAA2wAAAA8AAAAAAAAAAQAgAAAAIgAAAGRycy9kb3ducmV2Lnht&#10;bFBLAQIUABQAAAAIAIdO4kAzLwWeOwAAADkAAAAVAAAAAAAAAAEAIAAAAA0BAABkcnMvZ3JvdXBz&#10;aGFwZXhtbC54bWxQSwUGAAAAAAYABgBgAQAAygMAAAAA&#10;">
                  <o:lock v:ext="edit" aspectratio="f"/>
                  <v:group id="组合 95" o:spid="_x0000_s1026" o:spt="203" style="position:absolute;left:3969;top:1847;height:13659;width:8146;" coordorigin="3277,1847" coordsize="8146,13659" o:gfxdata="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E5fb0AAADbAAAADwAAAAAAAAABACAAAAAiAAAAZHJzL2Rvd25yZXYueG1s&#10;UEsBAhQAFAAAAAgAh07iQDMvBZ47AAAAOQAAABUAAAAAAAAAAQAgAAAADAEAAGRycy9ncm91cHNo&#10;YXBleG1sLnhtbFBLBQYAAAAABgAGAGABAADJAwAAAAA=&#10;">
                    <o:lock v:ext="edit" aspectratio="f"/>
                    <v:group id="组合 92" o:spid="_x0000_s1026" o:spt="203" style="position:absolute;left:3277;top:1847;height:13659;width:8146;" coordorigin="3277,1847" coordsize="8146,13659" o:gfxdata="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e2c5r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7196;top:2717;height:4371;width:32;" filled="f" stroked="t" coordsize="21600,21600" o:gfxdata="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knK4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group id="组合 91" o:spid="_x0000_s1026" o:spt="203" style="position:absolute;left:3277;top:1847;height:13659;width:8146;" coordorigin="3277,1847" coordsize="8146,13659"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rect id="_x0000_s1026" o:spid="_x0000_s1026" o:spt="1" style="position:absolute;left:6267;top:3221;height:519;width:2066;v-text-anchor:middle;" fillcolor="#FFFFFF" filled="t" stroked="t" coordsize="21600,21600" o:gfxdata="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i5eJbUAAADbAAAADwAA&#10;AAAAAAABACAAAAAiAAAAZHJzL2Rvd25yZXYueG1sUEsBAhQAFAAAAAgAh07iQDMvBZ47AAAAOQAA&#10;ABAAAAAAAAAAAQAgAAAABAEAAGRycy9zaGFwZXhtbC54bWxQSwUGAAAAAAYABgBbAQAArgMAAAAA&#10;">
                          <v:fill on="t" focussize="0,0"/>
                          <v:stroke color="#000000" joinstyle="miter"/>
                          <v:imagedata o:title=""/>
                          <o:lock v:ext="edit" aspectratio="f"/>
                          <v:textbox inset="1.3mm,1.3mm,1.3mm,1.3mm">
                            <w:txbxContent>
                              <w:p w14:paraId="15D897C6">
                                <w:pPr>
                                  <w:keepNext w:val="0"/>
                                  <w:keepLines w:val="0"/>
                                  <w:pageBreakBefore w:val="0"/>
                                  <w:widowControl w:val="0"/>
                                  <w:kinsoku/>
                                  <w:wordWrap/>
                                  <w:overflowPunct/>
                                  <w:topLinePunct w:val="0"/>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保险经纪公司</w:t>
                                </w:r>
                              </w:p>
                            </w:txbxContent>
                          </v:textbox>
                        </v:rect>
                        <v:group id="组合 90" o:spid="_x0000_s1026" o:spt="203" style="position:absolute;left:3277;top:1847;height:13659;width:8146;" coordorigin="3277,1860" coordsize="8146,13659" o:gfxdata="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z6tD70AAADbAAAADwAAAAAAAAABACAAAAAiAAAAZHJzL2Rvd25yZXYueG1s&#10;UEsBAhQAFAAAAAgAh07iQDMvBZ47AAAAOQAAABUAAAAAAAAAAQAgAAAADAEAAGRycy9ncm91cHNo&#10;YXBleG1sLnhtbFBLBQYAAAAABgAGAGABAADJAwAAAAA=&#10;">
                          <o:lock v:ext="edit" aspectratio="f"/>
                          <v:shape id="_x0000_s1026" o:spid="_x0000_s1026" o:spt="33" type="#_x0000_t33" style="position:absolute;left:3384;top:12159;flip:y;height:2085;width:4014;rotation:-5898240f;" filled="f" stroked="t" coordsize="21600,21600" o:gfxdata="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n5n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3" type="#_x0000_t33" style="position:absolute;left:8071;top:13623;height:1358;width:2489;" filled="f" stroked="t" coordsize="21600,21600" o:gfxdata="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YGVd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_x0000_s1026" o:spid="_x0000_s1026" o:spt="33" type="#_x0000_t33" style="position:absolute;left:9242;top:9064;height:1500;width:219;" filled="f" stroked="t" coordsize="21600,21600" o:gfxdata="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swM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33" type="#_x0000_t33" style="position:absolute;left:4374;top:9064;flip:y;height:1566;width:883;rotation:11796480f;" filled="f" stroked="t" coordsize="21600,21600" o:gfxdata="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p3By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rect id="_x0000_s1026" o:spid="_x0000_s1026" o:spt="1" style="position:absolute;left:6160;top:1860;height:870;width:2072;v-text-anchor:middle;" fillcolor="#FFFFFF" filled="t" stroked="t" coordsize="21600,21600" o:gfxdata="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5Z/b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inset="1.3mm,1.3mm,1.3mm,1.3mm">
                              <w:txbxContent>
                                <w:p w14:paraId="2EA006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接到法院传票</w:t>
                                  </w:r>
                                </w:p>
                                <w:p w14:paraId="718F036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医院报案</w:t>
                                  </w:r>
                                </w:p>
                              </w:txbxContent>
                            </v:textbox>
                          </v:rect>
                          <v:rect id="_x0000_s1026" o:spid="_x0000_s1026" o:spt="1" style="position:absolute;left:3277;top:3220;height:521;width:1723;v-text-anchor:middle;" fillcolor="#FFFFFF" filled="t" stroked="t" coordsize="21600,21600" o:gfxdata="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6LY8q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inset="1.3mm,1.3mm,1.3mm,1.3mm">
                              <w:txbxContent>
                                <w:p w14:paraId="457D56B1">
                                  <w:pPr>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保险公司</w:t>
                                  </w:r>
                                </w:p>
                              </w:txbxContent>
                            </v:textbox>
                          </v:rect>
                          <v:rect id="_x0000_s1026" o:spid="_x0000_s1026" o:spt="1" style="position:absolute;left:4009;top:4677;height:1627;width:2433;v-text-anchor:middle;" fillcolor="#FFFFFF" filled="t" stroked="t" coordsize="21600,21600" o:gfxdata="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feifb4A&#10;AADbAAAADwAAAAAAAAABACAAAAAiAAAAZHJzL2Rvd25yZXYueG1sUEsBAhQAFAAAAAgAh07iQDMv&#10;BZ47AAAAOQAAABAAAAAAAAAAAQAgAAAADQEAAGRycy9zaGFwZXhtbC54bWxQSwUGAAAAAAYABgBb&#10;AQAAtwMAAAAA&#10;">
                            <v:fill on="t" focussize="0,0"/>
                            <v:stroke weight="1pt" color="#000000" joinstyle="miter" dashstyle="dash"/>
                            <v:imagedata o:title=""/>
                            <o:lock v:ext="edit" aspectratio="f"/>
                            <v:textbox inset="1.3mm,1.3mm,1.3mm,1.3mm">
                              <w:txbxContent>
                                <w:p w14:paraId="3D5804D6">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推荐律师复核确认</w:t>
                                  </w:r>
                                </w:p>
                                <w:p w14:paraId="1710B2D9">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核定律师费</w:t>
                                  </w:r>
                                </w:p>
                                <w:p w14:paraId="34AD1C44">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三方合同审核</w:t>
                                  </w:r>
                                </w:p>
                                <w:p w14:paraId="13A9C388">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签订三方委托代理合同</w:t>
                                  </w:r>
                                </w:p>
                              </w:txbxContent>
                            </v:textbox>
                          </v:rect>
                          <v:rect id="_x0000_s1026" o:spid="_x0000_s1026" o:spt="1" style="position:absolute;left:6292;top:7102;height:488;width:1873;v-text-anchor:middle;" fillcolor="#FFFFFF" filled="t" stroked="t" coordsize="21600,21600" o:gfxdata="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QFhSI7UAAADbAAAADwAA&#10;AAAAAAABACAAAAAiAAAAZHJzL2Rvd25yZXYueG1sUEsBAhQAFAAAAAgAh07iQDMvBZ47AAAAOQAA&#10;ABAAAAAAAAAAAQAgAAAABAEAAGRycy9zaGFwZXhtbC54bWxQSwUGAAAAAAYABgBbAQAArgMAAAAA&#10;">
                            <v:fill on="t" focussize="0,0"/>
                            <v:stroke color="#000000" joinstyle="miter"/>
                            <v:imagedata o:title=""/>
                            <o:lock v:ext="edit" aspectratio="f"/>
                            <v:textbox inset="1.3mm,1.3mm,1.3mm,1.3mm">
                              <w:txbxContent>
                                <w:p w14:paraId="5B4D37FB">
                                  <w:pPr>
                                    <w:jc w:val="center"/>
                                    <w:rPr>
                                      <w:rFonts w:hint="eastAsia" w:ascii="宋体" w:hAnsi="宋体" w:eastAsia="宋体" w:cs="宋体"/>
                                      <w:sz w:val="20"/>
                                      <w:szCs w:val="20"/>
                                    </w:rPr>
                                  </w:pPr>
                                  <w:r>
                                    <w:rPr>
                                      <w:rFonts w:hint="eastAsia" w:ascii="宋体" w:hAnsi="宋体" w:eastAsia="宋体" w:cs="宋体"/>
                                      <w:sz w:val="20"/>
                                      <w:szCs w:val="20"/>
                                    </w:rPr>
                                    <w:t>案件评估</w:t>
                                  </w:r>
                                </w:p>
                              </w:txbxContent>
                            </v:textbox>
                          </v:rect>
                          <v:rect id="_x0000_s1026" o:spid="_x0000_s1026" o:spt="1" style="position:absolute;left:3488;top:10630;height:589;width:1772;v-text-anchor:middle;" fillcolor="#FFFFFF" filled="t" stroked="t" coordsize="21600,21600" o:gfxdata="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8U97i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inset="1.3mm,1.3mm,1.3mm,1.3mm">
                              <w:txbxContent>
                                <w:p w14:paraId="4312B7A2">
                                  <w:pPr>
                                    <w:jc w:val="center"/>
                                    <w:rPr>
                                      <w:rFonts w:hint="eastAsia" w:ascii="宋体" w:hAnsi="宋体" w:eastAsia="宋体" w:cs="宋体"/>
                                      <w:sz w:val="20"/>
                                      <w:szCs w:val="20"/>
                                    </w:rPr>
                                  </w:pPr>
                                  <w:r>
                                    <w:rPr>
                                      <w:rFonts w:hint="eastAsia" w:ascii="宋体" w:hAnsi="宋体" w:eastAsia="宋体" w:cs="宋体"/>
                                      <w:sz w:val="20"/>
                                      <w:szCs w:val="20"/>
                                    </w:rPr>
                                    <w:t>调解/和解意向</w:t>
                                  </w:r>
                                </w:p>
                              </w:txbxContent>
                            </v:textbox>
                          </v:rect>
                          <v:rect id="_x0000_s1026" o:spid="_x0000_s1026" o:spt="1" style="position:absolute;left:5257;top:8422;height:1285;width:3985;v-text-anchor:middle;" fillcolor="#FFFFFF" filled="t" stroked="t" coordsize="21600,21600" o:gfxdata="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HLwtLsAAADb&#10;AAAADwAAAAAAAAABACAAAAAiAAAAZHJzL2Rvd25yZXYueG1sUEsBAhQAFAAAAAgAh07iQDMvBZ47&#10;AAAAOQAAABAAAAAAAAAAAQAgAAAACgEAAGRycy9zaGFwZXhtbC54bWxQSwUGAAAAAAYABgBbAQAA&#10;tAMAAAAA&#10;">
                            <v:fill on="t" focussize="0,0"/>
                            <v:stroke weight="1pt" color="#000000" joinstyle="miter" dashstyle="dash"/>
                            <v:imagedata o:title=""/>
                            <o:lock v:ext="edit" aspectratio="f"/>
                            <v:textbox inset="1.3mm,1.3mm,1.3mm,1.3mm">
                              <w:txbxContent>
                                <w:p w14:paraId="4E3BB77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0"/>
                                      <w:szCs w:val="20"/>
                                      <w:lang w:val="en-US" w:eastAsia="zh-CN"/>
                                    </w:rPr>
                                  </w:pPr>
                                  <w:r>
                                    <w:rPr>
                                      <w:rFonts w:hint="eastAsia" w:ascii="宋体" w:hAnsi="宋体" w:eastAsia="宋体" w:cs="宋体"/>
                                      <w:sz w:val="20"/>
                                      <w:szCs w:val="20"/>
                                    </w:rPr>
                                    <w:t>案件评估（根据案件复杂程度）</w:t>
                                  </w:r>
                                  <w:r>
                                    <w:rPr>
                                      <w:rFonts w:hint="eastAsia" w:ascii="宋体" w:hAnsi="宋体" w:eastAsia="宋体" w:cs="宋体"/>
                                      <w:sz w:val="20"/>
                                      <w:szCs w:val="20"/>
                                      <w:lang w:eastAsia="zh-CN"/>
                                    </w:rPr>
                                    <w:t>：</w:t>
                                  </w:r>
                                </w:p>
                                <w:p w14:paraId="3681A2D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0"/>
                                      <w:szCs w:val="20"/>
                                    </w:rPr>
                                  </w:pPr>
                                  <w:r>
                                    <w:rPr>
                                      <w:rFonts w:hint="eastAsia" w:ascii="宋体" w:hAnsi="宋体" w:eastAsia="宋体" w:cs="宋体"/>
                                      <w:sz w:val="20"/>
                                      <w:szCs w:val="20"/>
                                    </w:rPr>
                                    <w:t>1、医学专家案件分析</w:t>
                                  </w:r>
                                </w:p>
                                <w:p w14:paraId="3C04B95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0"/>
                                      <w:szCs w:val="20"/>
                                    </w:rPr>
                                  </w:pPr>
                                  <w:r>
                                    <w:rPr>
                                      <w:rFonts w:hint="eastAsia" w:ascii="宋体" w:hAnsi="宋体" w:eastAsia="宋体" w:cs="宋体"/>
                                      <w:sz w:val="20"/>
                                      <w:szCs w:val="20"/>
                                    </w:rPr>
                                    <w:t>2、诉讼案件风险评估小组案件分析评估</w:t>
                                  </w:r>
                                </w:p>
                              </w:txbxContent>
                            </v:textbox>
                          </v:rect>
                          <v:rect id="_x0000_s1026" o:spid="_x0000_s1026" o:spt="1" style="position:absolute;left:9560;top:13328;height:891;width:1863;v-text-anchor:middle;" fillcolor="#FFFFFF" filled="t" stroked="t" coordsize="21600,21600" o:gfxdata="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DjED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inset="1.3mm,1.3mm,1.3mm,1.3mm">
                              <w:txbxContent>
                                <w:p w14:paraId="39D09EBB">
                                  <w:pPr>
                                    <w:jc w:val="center"/>
                                    <w:rPr>
                                      <w:rFonts w:hint="eastAsia" w:ascii="宋体" w:hAnsi="宋体" w:eastAsia="宋体" w:cs="宋体"/>
                                      <w:sz w:val="20"/>
                                      <w:szCs w:val="20"/>
                                    </w:rPr>
                                  </w:pPr>
                                  <w:r>
                                    <w:rPr>
                                      <w:rFonts w:hint="eastAsia" w:ascii="宋体" w:hAnsi="宋体" w:eastAsia="宋体" w:cs="宋体"/>
                                      <w:sz w:val="20"/>
                                      <w:szCs w:val="20"/>
                                    </w:rPr>
                                    <w:t>二审应诉</w:t>
                                  </w:r>
                                </w:p>
                                <w:p w14:paraId="5567EE41">
                                  <w:pPr>
                                    <w:jc w:val="center"/>
                                    <w:rPr>
                                      <w:rFonts w:hint="eastAsia" w:ascii="宋体" w:hAnsi="宋体" w:eastAsia="宋体" w:cs="宋体"/>
                                      <w:sz w:val="20"/>
                                      <w:szCs w:val="20"/>
                                    </w:rPr>
                                  </w:pPr>
                                  <w:r>
                                    <w:rPr>
                                      <w:rFonts w:hint="eastAsia" w:ascii="宋体" w:hAnsi="宋体" w:eastAsia="宋体" w:cs="宋体"/>
                                      <w:sz w:val="20"/>
                                      <w:szCs w:val="20"/>
                                    </w:rPr>
                                    <w:t>（流程参考一审）</w:t>
                                  </w:r>
                                </w:p>
                              </w:txbxContent>
                            </v:textbox>
                          </v:rect>
                          <v:rect id="_x0000_s1026" o:spid="_x0000_s1026" o:spt="1" style="position:absolute;left:9763;top:14981;height:475;width:1593;v-text-anchor:middle;" fillcolor="#FFFFFF" filled="t" stroked="t" coordsize="21600,21600" o:gfxdata="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cr3S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inset="1.3mm,1.3mm,1.3mm,1.3mm">
                              <w:txbxContent>
                                <w:p w14:paraId="3342E331">
                                  <w:pPr>
                                    <w:jc w:val="center"/>
                                    <w:rPr>
                                      <w:rFonts w:hint="eastAsia" w:ascii="宋体" w:hAnsi="宋体" w:eastAsia="宋体" w:cs="宋体"/>
                                      <w:sz w:val="20"/>
                                      <w:szCs w:val="20"/>
                                    </w:rPr>
                                  </w:pPr>
                                  <w:r>
                                    <w:rPr>
                                      <w:rFonts w:hint="eastAsia" w:ascii="宋体" w:hAnsi="宋体" w:eastAsia="宋体" w:cs="宋体"/>
                                      <w:sz w:val="20"/>
                                      <w:szCs w:val="20"/>
                                    </w:rPr>
                                    <w:t>二审裁判</w:t>
                                  </w:r>
                                </w:p>
                              </w:txbxContent>
                            </v:textbox>
                          </v:rect>
                          <v:rect id="_x0000_s1026" o:spid="_x0000_s1026" o:spt="1" style="position:absolute;left:6458;top:14946;height:573;width:2042;v-text-anchor:middle;" fillcolor="#FFFFFF" filled="t" stroked="t" coordsize="21600,21600" o:gfxdata="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JAK77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inset="1.3mm,1.3mm,1.3mm,1.3mm">
                              <w:txbxContent>
                                <w:p w14:paraId="076B74C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保险核定并赔付</w:t>
                                  </w:r>
                                </w:p>
                              </w:txbxContent>
                            </v:textbox>
                          </v:rect>
                          <v:rect id="_x0000_s1026" o:spid="_x0000_s1026" o:spt="1" style="position:absolute;left:8115;top:4626;height:1627;width:2731;v-text-anchor:middle;" fillcolor="#FFFFFF" filled="t" stroked="t" coordsize="21600,21600" o:gfxdata="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0n2t74A&#10;AADbAAAADwAAAAAAAAABACAAAAAiAAAAZHJzL2Rvd25yZXYueG1sUEsBAhQAFAAAAAgAh07iQDMv&#10;BZ47AAAAOQAAABAAAAAAAAAAAQAgAAAADQEAAGRycy9zaGFwZXhtbC54bWxQSwUGAAAAAAYABgBb&#10;AQAAtwMAAAAA&#10;">
                            <v:fill on="t" focussize="0,0"/>
                            <v:stroke weight="1pt" color="#000000" joinstyle="miter" dashstyle="dash"/>
                            <v:imagedata o:title=""/>
                            <o:lock v:ext="edit" aspectratio="f"/>
                            <v:textbox inset="1.3mm,1.3mm,1.3mm,1.3mm">
                              <w:txbxContent>
                                <w:p w14:paraId="30BB40E0">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联系医疗机构：</w:t>
                                  </w:r>
                                </w:p>
                                <w:p w14:paraId="62C6980F">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案件是否曾调解？</w:t>
                                  </w:r>
                                </w:p>
                                <w:p w14:paraId="749D4B7A">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案件是否曾鉴定？</w:t>
                                  </w:r>
                                </w:p>
                                <w:p w14:paraId="4137E213">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医院是否需要指派律师？</w:t>
                                  </w:r>
                                </w:p>
                                <w:p w14:paraId="6F4CA3B0">
                                  <w:pPr>
                                    <w:keepNext w:val="0"/>
                                    <w:keepLines w:val="0"/>
                                    <w:pageBreakBefore w:val="0"/>
                                    <w:widowControl w:val="0"/>
                                    <w:kinsoku/>
                                    <w:wordWrap/>
                                    <w:overflowPunct/>
                                    <w:topLinePunct w:val="0"/>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告知及发送材料清单？</w:t>
                                  </w:r>
                                </w:p>
                              </w:txbxContent>
                            </v:textbox>
                          </v:rect>
                          <v:rect id="_x0000_s1026" o:spid="_x0000_s1026" o:spt="1" style="position:absolute;left:9307;top:3255;height:463;width:1712;v-text-anchor:middle;" fillcolor="#FFFFFF" filled="t" stroked="t" coordsize="21600,21600" o:gfxdata="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DU3A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inset="1.3mm,1.3mm,1.3mm,1.3mm">
                              <w:txbxContent>
                                <w:p w14:paraId="23AB4EE5">
                                  <w:pPr>
                                    <w:keepNext w:val="0"/>
                                    <w:keepLines w:val="0"/>
                                    <w:pageBreakBefore w:val="0"/>
                                    <w:widowControl w:val="0"/>
                                    <w:kinsoku/>
                                    <w:wordWrap/>
                                    <w:overflowPunct/>
                                    <w:topLinePunct w:val="0"/>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医疗机构</w:t>
                                  </w:r>
                                </w:p>
                              </w:txbxContent>
                            </v:textbox>
                          </v:rect>
                          <v:rect id="_x0000_s1026" o:spid="_x0000_s1026" o:spt="1" style="position:absolute;left:7925;top:10563;height:651;width:3071;v-text-anchor:middle;" fillcolor="#FFFFFF" filled="t" stroked="t" coordsize="21600,21600" o:gfxdata="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jSYnr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inset="1.3mm,1.3mm,1.3mm,1.3mm">
                              <w:txbxContent>
                                <w:p w14:paraId="4034650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选定鉴定机构，进入鉴定程序</w:t>
                                  </w:r>
                                </w:p>
                              </w:txbxContent>
                            </v:textbox>
                          </v:rect>
                          <v:rect id="_x0000_s1026" o:spid="_x0000_s1026" o:spt="1" style="position:absolute;left:8744;top:12007;height:516;width:1452;v-text-anchor:middle;" fillcolor="#FFFFFF" filled="t" stroked="t" coordsize="21600,21600" o:gfxdata="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F4PQW5AAAA2w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inset="1.3mm,1.3mm,1.3mm,1.3mm">
                              <w:txbxContent>
                                <w:p w14:paraId="235985A5">
                                  <w:pPr>
                                    <w:keepNext w:val="0"/>
                                    <w:keepLines w:val="0"/>
                                    <w:pageBreakBefore w:val="0"/>
                                    <w:widowControl w:val="0"/>
                                    <w:kinsoku/>
                                    <w:wordWrap/>
                                    <w:overflowPunct/>
                                    <w:topLinePunct w:val="0"/>
                                    <w:autoSpaceDE/>
                                    <w:bidi w:val="0"/>
                                    <w:adjustRightInd w:val="0"/>
                                    <w:snapToGrid w:val="0"/>
                                    <w:jc w:val="center"/>
                                    <w:textAlignment w:val="auto"/>
                                    <w:rPr>
                                      <w:rFonts w:hint="eastAsia" w:ascii="宋体" w:hAnsi="宋体" w:eastAsia="宋体" w:cs="宋体"/>
                                      <w:sz w:val="20"/>
                                      <w:szCs w:val="20"/>
                                    </w:rPr>
                                  </w:pPr>
                                  <w:r>
                                    <w:rPr>
                                      <w:rFonts w:hint="eastAsia" w:ascii="宋体" w:hAnsi="宋体" w:eastAsia="宋体" w:cs="宋体"/>
                                      <w:sz w:val="20"/>
                                      <w:szCs w:val="20"/>
                                    </w:rPr>
                                    <w:t>一审判决</w:t>
                                  </w:r>
                                </w:p>
                              </w:txbxContent>
                            </v:textbox>
                          </v:rect>
                          <v:roundrect id="流程图: 决策 70" o:spid="_x0000_s1026" o:spt="2" style="position:absolute;left:6894;top:13174;height:898;width:1177;v-text-anchor:middle;" fillcolor="#FFFFFF" filled="t" stroked="t" coordsize="21600,21600" arcsize="0.166666666666667" o:gfxdata="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2PCVm5AAAA2wAA&#10;AA8AAAAAAAAAAQAgAAAAIgAAAGRycy9kb3ducmV2LnhtbFBLAQIUABQAAAAIAIdO4kAzLwWeOwAA&#10;ADkAAAAQAAAAAAAAAAEAIAAAAAgBAABkcnMvc2hhcGV4bWwueG1sUEsFBgAAAAAGAAYAWwEAALID&#10;AAAAAA==&#10;">
                            <v:fill on="t" focussize="0,0"/>
                            <v:stroke weight="1.5pt" color="#000000" joinstyle="miter"/>
                            <v:imagedata o:title=""/>
                            <o:lock v:ext="edit" aspectratio="f"/>
                            <v:textbox inset="1.3mm,1.3mm,1.3mm,1.3mm">
                              <w:txbxContent>
                                <w:p w14:paraId="4393A30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0"/>
                                      <w:szCs w:val="20"/>
                                    </w:rPr>
                                  </w:pPr>
                                  <w:r>
                                    <w:rPr>
                                      <w:rFonts w:hint="eastAsia" w:ascii="宋体" w:hAnsi="宋体" w:eastAsia="宋体" w:cs="宋体"/>
                                      <w:sz w:val="20"/>
                                      <w:szCs w:val="20"/>
                                    </w:rPr>
                                    <w:t>是否上诉</w:t>
                                  </w:r>
                                </w:p>
                              </w:txbxContent>
                            </v:textbox>
                          </v:roundrect>
                          <v:shape id="_x0000_s1026" o:spid="_x0000_s1026" o:spt="33" type="#_x0000_t33" style="position:absolute;left:6981;top:4304;flip:y;height:593;width:1675;rotation:-5898240f;" filled="f" stroked="t" coordsize="21600,21600" o:gfxdata="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gyl/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4" type="#_x0000_t34" style="position:absolute;left:10846;top:3487;flip:y;height:1953;width:173;" filled="f" stroked="t" coordsize="21600,21600" o:gfxdata="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AxOzvQAA&#10;ANsAAAAPAAAAAAAAAAEAIAAAACIAAABkcnMvZG93bnJldi54bWxQSwECFAAUAAAACACHTuJAMy8F&#10;njsAAAA5AAAAEAAAAAAAAAABACAAAAAMAQAAZHJzL3NoYXBleG1sLnhtbFBLBQYAAAAABgAGAFsB&#10;AAC2AwAAAAA=&#10;" adj="68933">
                            <v:fill on="f" focussize="0,0"/>
                            <v:stroke color="#000000" joinstyle="round" endarrow="block"/>
                            <v:imagedata o:title=""/>
                            <o:lock v:ext="edit" aspectratio="f"/>
                          </v:shape>
                          <v:shape id="_x0000_s1026" o:spid="_x0000_s1026" o:spt="32" type="#_x0000_t32" style="position:absolute;left:8334;top:3487;flip:x;height:7;width:973;" filled="f" stroked="t" coordsize="21600,21600" o:gfxdata="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vDHg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4" type="#_x0000_t34" style="position:absolute;left:3277;top:3480;flip:x y;height:2011;width:732;rotation:11796480f;" filled="f" stroked="t" coordsize="21600,21600" o:gfxdata="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CQS0S8AAAA&#10;2wAAAA8AAAAAAAAAAQAgAAAAIgAAAGRycy9kb3ducmV2LnhtbFBLAQIUABQAAAAIAIdO4kAzLwWe&#10;OwAAADkAAAAQAAAAAAAAAAEAIAAAAAsBAABkcnMvc2hhcGV4bWwueG1sUEsFBgAAAAAGAAYAWwEA&#10;ALUDAAAAAA==&#10;" adj="-11212">
                            <v:fill on="f" focussize="0,0"/>
                            <v:stroke color="#000000" joinstyle="round" endarrow="block"/>
                            <v:imagedata o:title=""/>
                            <o:lock v:ext="edit" aspectratio="f"/>
                          </v:shape>
                          <v:shape id="_x0000_s1026" o:spid="_x0000_s1026" o:spt="33" type="#_x0000_t33" style="position:absolute;left:6442;top:3769;flip:y;height:1721;width:502;" filled="f" stroked="t" coordsize="21600,21600" o:gfxdata="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t3WPS/&#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32" type="#_x0000_t32" style="position:absolute;left:5000;top:3480;flip:x y;height:14;width:1267;" filled="f" stroked="t" coordsize="21600,21600" o:gfxdata="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xv1e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_x0000_s1026" o:spid="_x0000_s1026" o:spt="32" type="#_x0000_t32" style="position:absolute;left:7229;top:7590;height:832;width:20;" filled="f" stroked="t" coordsize="21600,21600" o:gfxdata="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qUL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3" type="#_x0000_t33" style="position:absolute;left:7483;top:12265;flip:y;height:909;width:1261;rotation:11796480f;" filled="f" stroked="t" coordsize="21600,21600" o:gfxdata="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GWXr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_x0000_s1026" o:spid="_x0000_s1026" o:spt="32" type="#_x0000_t32" style="position:absolute;left:8501;top:15218;flip:x;height:15;width:1262;" filled="f" stroked="t" coordsize="21600,21600" o:gfxdata="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xjwa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202" type="#_x0000_t202" style="position:absolute;left:8875;top:13101;height:439;width:397;v-text-anchor:middle;" filled="f" stroked="f" coordsize="21600,21600" o:gfxdata="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inb+bsAAADb&#10;AAAADwAAAAAAAAABACAAAAAiAAAAZHJzL2Rvd25yZXYueG1sUEsBAhQAFAAAAAgAh07iQDMvBZ47&#10;AAAAOQAAABAAAAAAAAAAAQAgAAAACgEAAGRycy9zaGFwZXhtbC54bWxQSwUGAAAAAAYABgBbAQAA&#10;tAMAAAAA&#10;">
                            <v:fill on="f" focussize="0,0"/>
                            <v:stroke on="f" weight="0.5pt" joinstyle="round"/>
                            <v:imagedata o:title=""/>
                            <o:lock v:ext="edit" aspectratio="f"/>
                            <v:textbox inset="1.3mm,1.3mm,1.3mm,1.3mm">
                              <w:txbxContent>
                                <w:p w14:paraId="074CA592">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是</w:t>
                                  </w:r>
                                </w:p>
                              </w:txbxContent>
                            </v:textbox>
                          </v:shape>
                          <v:shape id="_x0000_s1026" o:spid="_x0000_s1026" o:spt="202" type="#_x0000_t202" style="position:absolute;left:7895;top:14177;height:513;width:459;v-text-anchor:middle;" fillcolor="#FFFFFF" filled="t" stroked="t" coordsize="21600,21600" o:gfxdata="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W8H0rsAAADb&#10;AAAADwAAAAAAAAABACAAAAAiAAAAZHJzL2Rvd25yZXYueG1sUEsBAhQAFAAAAAgAh07iQDMvBZ47&#10;AAAAOQAAABAAAAAAAAAAAQAgAAAACgEAAGRycy9zaGFwZXhtbC54bWxQSwUGAAAAAAYABgBbAQAA&#10;tAMAAAAA&#10;">
                            <v:fill on="t" focussize="0,0"/>
                            <v:stroke weight="0.5pt" color="#FFFFFF" joinstyle="round"/>
                            <v:imagedata o:title=""/>
                            <o:lock v:ext="edit" aspectratio="f"/>
                            <v:textbox inset="1.3mm,1.3mm,1.3mm,1.3mm">
                              <w:txbxContent>
                                <w:p w14:paraId="545ECCCF">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否</w:t>
                                  </w:r>
                                </w:p>
                              </w:txbxContent>
                            </v:textbox>
                          </v:shape>
                          <v:shape id="_x0000_s1026" o:spid="_x0000_s1026" o:spt="32" type="#_x0000_t32" style="position:absolute;left:9461;top:11214;height:792;width:9;" filled="f" stroked="t" coordsize="21600,21600" o:gfxdata="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1TiC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肘形连接符 86" o:spid="_x0000_s1026" o:spt="34" type="#_x0000_t34" style="position:absolute;left:4960;top:10888;flip:y;height:2835;width:2965;" filled="f" stroked="t" coordsize="21600,21600" o:gfxdata="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C0tRwtAAAANsAAAAPAAAA&#10;AAAAAAEAIAAAACIAAABkcnMvZG93bnJldi54bWxQSwECFAAUAAAACACHTuJAMy8FnjsAAAA5AAAA&#10;EAAAAAAAAAABACAAAAADAQAAZHJzL3NoYXBleG1sLnhtbFBLBQYAAAAABgAGAFsBAACtAwAAAAA=&#10;" adj="7486">
                            <v:fill on="f" focussize="0,0"/>
                            <v:stroke color="#000000" joinstyle="round" endarrow="block"/>
                            <v:imagedata o:title=""/>
                            <o:lock v:ext="edit" aspectratio="f"/>
                          </v:shape>
                          <v:shape id="直接箭头连接符 87" o:spid="_x0000_s1026" o:spt="32" type="#_x0000_t32" style="position:absolute;left:5338;top:10739;flip:x y;height:21;width:2598;" filled="f" stroked="t" coordsize="21600,21600" o:gfxdata="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1QgS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88" o:spid="_x0000_s1026" o:spt="202" type="#_x0000_t202" style="position:absolute;left:5466;top:12435;height:580;width:407;v-text-anchor:middle;" filled="f" stroked="t" coordsize="21600,21600" o:gfxdata="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8WvRvQAA&#10;ANsAAAAPAAAAAAAAAAEAIAAAACIAAABkcnMvZG93bnJldi54bWxQSwECFAAUAAAACACHTuJAMy8F&#10;njsAAAA5AAAAEAAAAAAAAAABACAAAAAMAQAAZHJzL3NoYXBleG1sLnhtbFBLBQYAAAAABgAGAFsB&#10;AAC2AwAAAAA=&#10;">
                            <v:fill on="f" focussize="0,0"/>
                            <v:stroke weight="0.5pt" color="#FFFFFF" joinstyle="round"/>
                            <v:imagedata o:title=""/>
                            <o:lock v:ext="edit" aspectratio="f"/>
                            <v:textbox inset="1.3mm,1.3mm,1.3mm,1.3mm">
                              <w:txbxContent>
                                <w:p w14:paraId="22BF957E">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sz w:val="20"/>
                                      <w:szCs w:val="20"/>
                                    </w:rPr>
                                  </w:pPr>
                                  <w:r>
                                    <w:rPr>
                                      <w:rFonts w:hint="eastAsia" w:ascii="宋体" w:hAnsi="宋体" w:eastAsia="宋体" w:cs="宋体"/>
                                      <w:sz w:val="20"/>
                                      <w:szCs w:val="20"/>
                                    </w:rPr>
                                    <w:t>否</w:t>
                                  </w:r>
                                </w:p>
                              </w:txbxContent>
                            </v:textbox>
                          </v:shape>
                          <v:shape id="文本框 89" o:spid="_x0000_s1026" o:spt="202" type="#_x0000_t202" style="position:absolute;left:4383;top:14391;height:506;width:491;v-text-anchor:middle;" fillcolor="#FFFFFF" filled="t" stroked="t" coordsize="21600,21600" o:gfxdata="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jDiSugAAANsA&#10;AAAPAAAAAAAAAAEAIAAAACIAAABkcnMvZG93bnJldi54bWxQSwECFAAUAAAACACHTuJAMy8FnjsA&#10;AAA5AAAAEAAAAAAAAAABACAAAAAJAQAAZHJzL3NoYXBleG1sLnhtbFBLBQYAAAAABgAGAFsBAACz&#10;AwAAAAA=&#10;">
                            <v:fill on="t" focussize="0,0"/>
                            <v:stroke weight="0.5pt" color="#FFFFFF" joinstyle="round"/>
                            <v:imagedata o:title=""/>
                            <o:lock v:ext="edit" aspectratio="f"/>
                            <v:textbox inset="1.3mm,1.3mm,1.3mm,1.3mm">
                              <w:txbxContent>
                                <w:p w14:paraId="009443AF">
                                  <w:pPr>
                                    <w:rPr>
                                      <w:rFonts w:hint="eastAsia" w:ascii="宋体" w:hAnsi="宋体" w:eastAsia="宋体" w:cs="宋体"/>
                                      <w:sz w:val="20"/>
                                      <w:szCs w:val="20"/>
                                    </w:rPr>
                                  </w:pPr>
                                  <w:r>
                                    <w:rPr>
                                      <w:rFonts w:hint="eastAsia" w:ascii="宋体" w:hAnsi="宋体" w:eastAsia="宋体" w:cs="宋体"/>
                                      <w:sz w:val="20"/>
                                      <w:szCs w:val="20"/>
                                    </w:rPr>
                                    <w:t>是</w:t>
                                  </w:r>
                                </w:p>
                              </w:txbxContent>
                            </v:textbox>
                          </v:shape>
                        </v:group>
                      </v:group>
                    </v:group>
                    <v:rect id="矩形 93" o:spid="_x0000_s1026" o:spt="1" style="position:absolute;left:3435;top:11865;height:906;width:1915;v-text-anchor:middle;" fillcolor="#FFFFFF" filled="t" stroked="t" coordsize="21600,21600" o:gfxdata="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tTSK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inset="1.3mm,1.3mm,1.3mm,1.3mm">
                        <w:txbxContent>
                          <w:p w14:paraId="3558EAA2">
                            <w:pPr>
                              <w:jc w:val="center"/>
                              <w:rPr>
                                <w:rFonts w:hint="eastAsia" w:ascii="宋体" w:hAnsi="宋体" w:eastAsia="宋体" w:cs="宋体"/>
                                <w:sz w:val="20"/>
                                <w:szCs w:val="20"/>
                              </w:rPr>
                            </w:pPr>
                            <w:r>
                              <w:rPr>
                                <w:rFonts w:hint="eastAsia" w:ascii="宋体" w:hAnsi="宋体" w:eastAsia="宋体" w:cs="宋体"/>
                                <w:sz w:val="20"/>
                                <w:szCs w:val="20"/>
                              </w:rPr>
                              <w:t>保险公司确认调解/和解方案</w:t>
                            </w:r>
                          </w:p>
                        </w:txbxContent>
                      </v:textbox>
                    </v:rect>
                    <v:roundrect id="流程图: 决策 94" o:spid="_x0000_s1026" o:spt="2" style="position:absolute;left:3792;top:13262;height:897;width:1169;v-text-anchor:middle;" fillcolor="#FFFFFF" filled="t" stroked="t" coordsize="21600,21600" arcsize="0.166666666666667" o:gfxdata="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6b74A&#10;AADcAAAADwAAAAAAAAABACAAAAAiAAAAZHJzL2Rvd25yZXYueG1sUEsBAhQAFAAAAAgAh07iQDMv&#10;BZ47AAAAOQAAABAAAAAAAAAAAQAgAAAADQEAAGRycy9zaGFwZXhtbC54bWxQSwUGAAAAAAYABgBb&#10;AQAAtwMAAAAA&#10;">
                      <v:fill on="t" focussize="0,0"/>
                      <v:stroke weight="1.5pt" color="#000000" joinstyle="miter"/>
                      <v:imagedata o:title=""/>
                      <o:lock v:ext="edit" aspectratio="f"/>
                      <v:textbox inset="1.3mm,1.3mm,1.3mm,1.3mm">
                        <w:txbxContent>
                          <w:p w14:paraId="17F82645">
                            <w:pPr>
                              <w:jc w:val="center"/>
                              <w:rPr>
                                <w:rFonts w:hint="eastAsia" w:ascii="宋体" w:hAnsi="宋体" w:eastAsia="宋体" w:cs="宋体"/>
                                <w:sz w:val="20"/>
                                <w:szCs w:val="20"/>
                              </w:rPr>
                            </w:pPr>
                            <w:r>
                              <w:rPr>
                                <w:rFonts w:hint="eastAsia" w:ascii="宋体" w:hAnsi="宋体" w:eastAsia="宋体" w:cs="宋体"/>
                                <w:sz w:val="20"/>
                                <w:szCs w:val="20"/>
                              </w:rPr>
                              <w:t>是否成功</w:t>
                            </w:r>
                          </w:p>
                        </w:txbxContent>
                      </v:textbox>
                    </v:roundrect>
                  </v:group>
                  <v:shape id="直接箭头连接符 96" o:spid="_x0000_s1026" o:spt="32" type="#_x0000_t32" style="position:absolute;left:8171;top:14059;flip:x;height:874;width:4;" filled="f" stroked="t" coordsize="21600,21600" o:gfxdata="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MqBj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v:shape id="肘形连接符 98" o:spid="_x0000_s1026" o:spt="34" type="#_x0000_t34" style="position:absolute;left:8208;top:13882;flip:y;height:1466;width:791;rotation:-5898240f;" filled="f" stroked="t" coordsize="21600,21600" o:gfxdata="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hr63L4A&#10;AADcAAAADwAAAAAAAAABACAAAAAiAAAAZHJzL2Rvd25yZXYueG1sUEsBAhQAFAAAAAgAh07iQDMv&#10;BZ47AAAAOQAAABAAAAAAAAAAAQAgAAAADQEAAGRycy9zaGFwZXhtbC54bWxQSwUGAAAAAAYABgBb&#10;AQAAtwMAAAAA&#10;" adj="10814">
                  <v:fill on="f" focussize="0,0"/>
                  <v:stroke color="#000000" joinstyle="round" endarrow="block"/>
                  <v:imagedata o:title=""/>
                  <o:lock v:ext="edit" aspectratio="f"/>
                </v:shape>
                <v:shape id="文本框 99" o:spid="_x0000_s1026" o:spt="202" type="#_x0000_t202" style="position:absolute;left:8445;top:15011;height:447;width:1783;v-text-anchor:middle;" fillcolor="#FFFFFF" filled="t" stroked="t" coordsize="21600,21600" o:gfxdata="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0XGL7sAAADc&#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textbox inset="1.3mm,1.3mm,1.3mm,1.3mm">
                    <w:txbxContent>
                      <w:p w14:paraId="7F180112">
                        <w:pPr>
                          <w:jc w:val="center"/>
                          <w:rPr>
                            <w:rFonts w:hint="eastAsia" w:ascii="宋体" w:hAnsi="宋体" w:eastAsia="宋体" w:cs="宋体"/>
                            <w:sz w:val="20"/>
                            <w:szCs w:val="20"/>
                          </w:rPr>
                        </w:pPr>
                        <w:r>
                          <w:rPr>
                            <w:rFonts w:hint="eastAsia" w:ascii="宋体" w:hAnsi="宋体" w:eastAsia="宋体" w:cs="宋体"/>
                            <w:sz w:val="20"/>
                            <w:szCs w:val="20"/>
                          </w:rPr>
                          <w:t>或支付给医院</w:t>
                        </w:r>
                      </w:p>
                    </w:txbxContent>
                  </v:textbox>
                </v:shape>
                <v:shape id="文本框 100" o:spid="_x0000_s1026" o:spt="202" type="#_x0000_t202" style="position:absolute;left:5712;top:15006;height:495;width:1515;v-text-anchor:middle;" fillcolor="#FFFFFF" filled="t" stroked="t" coordsize="21600,21600" o:gfxdata="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AljtLsAAADc&#10;AAAADwAAAAAAAAABACAAAAAiAAAAZHJzL2Rvd25yZXYueG1sUEsBAhQAFAAAAAgAh07iQDMvBZ47&#10;AAAAOQAAABAAAAAAAAAAAQAgAAAACgEAAGRycy9zaGFwZXhtbC54bWxQSwUGAAAAAAYABgBbAQAA&#10;tAMAAAAA&#10;">
                  <v:fill on="t" focussize="0,0"/>
                  <v:stroke weight="0.5pt" color="#000000" joinstyle="round"/>
                  <v:imagedata o:title=""/>
                  <o:lock v:ext="edit" aspectratio="f"/>
                  <v:textbox inset="1.3mm,1.3mm,1.3mm,1.3mm">
                    <w:txbxContent>
                      <w:p w14:paraId="05076D02">
                        <w:pPr>
                          <w:jc w:val="center"/>
                          <w:rPr>
                            <w:rFonts w:hint="eastAsia" w:ascii="宋体" w:hAnsi="宋体" w:eastAsia="宋体" w:cs="宋体"/>
                            <w:sz w:val="20"/>
                            <w:szCs w:val="20"/>
                          </w:rPr>
                        </w:pPr>
                        <w:r>
                          <w:rPr>
                            <w:rFonts w:hint="eastAsia" w:ascii="宋体" w:hAnsi="宋体" w:eastAsia="宋体" w:cs="宋体"/>
                            <w:sz w:val="20"/>
                            <w:szCs w:val="20"/>
                          </w:rPr>
                          <w:t>支付给患方</w:t>
                        </w:r>
                      </w:p>
                    </w:txbxContent>
                  </v:textbox>
                </v:shape>
                <v:shape id="肘形连接符 101" o:spid="_x0000_s1026" o:spt="34" type="#_x0000_t34" style="position:absolute;left:6776;top:13912;height:1401;width:787;rotation:5898240f;" filled="f" stroked="t" coordsize="21600,21600" o:gfxdata="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hoKpr4A&#10;AADcAAAADwAAAAAAAAABACAAAAAiAAAAZHJzL2Rvd25yZXYueG1sUEsBAhQAFAAAAAgAh07iQDMv&#10;BZ47AAAAOQAAABAAAAAAAAAAAQAgAAAADQEAAGRycy9zaGFwZXhtbC54bWxQSwUGAAAAAAYABgBb&#10;AQAAtwMAAAAA&#10;" adj="10800">
                  <v:fill on="f" focussize="0,0"/>
                  <v:stroke color="#000000" joinstyle="round" endarrow="block"/>
                  <v:imagedata o:title=""/>
                  <o:lock v:ext="edit" aspectratio="f"/>
                </v:shape>
                <w10:wrap type="none"/>
                <w10:anchorlock/>
              </v:group>
            </w:pict>
          </mc:Fallback>
        </mc:AlternateContent>
      </w:r>
    </w:p>
    <w:p w14:paraId="05EB9463">
      <w:pPr>
        <w:keepNext w:val="0"/>
        <w:keepLines w:val="0"/>
        <w:pageBreakBefore/>
        <w:widowControl w:val="0"/>
        <w:kinsoku/>
        <w:wordWrap w:val="0"/>
        <w:overflowPunct/>
        <w:topLinePunct w:val="0"/>
        <w:autoSpaceDE/>
        <w:autoSpaceDN/>
        <w:bidi w:val="0"/>
        <w:adjustRightInd w:val="0"/>
        <w:snapToGrid/>
        <w:spacing w:line="360" w:lineRule="auto"/>
        <w:ind w:left="0" w:leftChars="0"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二、接、报案程序</w:t>
      </w:r>
    </w:p>
    <w:p w14:paraId="21EAA3D4">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lang w:val="en-US" w:eastAsia="zh-CN" w:bidi="ar-SA"/>
        </w:rPr>
        <w:t>（一）</w:t>
      </w:r>
      <w:r>
        <w:rPr>
          <w:rFonts w:hint="eastAsia" w:ascii="宋体" w:hAnsi="宋体" w:eastAsia="宋体" w:cs="宋体"/>
          <w:b/>
          <w:bCs/>
          <w:color w:val="auto"/>
          <w:kern w:val="2"/>
          <w:sz w:val="24"/>
          <w:szCs w:val="24"/>
          <w:highlight w:val="none"/>
          <w:lang w:val="en-US" w:eastAsia="zh-CN" w:bidi="ar-SA"/>
        </w:rPr>
        <w:t>接、报案方式</w:t>
      </w:r>
    </w:p>
    <w:p w14:paraId="2E11E676">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医疗责任保险案件分电话报案与系统报案</w:t>
      </w:r>
      <w:r>
        <w:rPr>
          <w:rFonts w:hint="eastAsia" w:ascii="宋体" w:hAnsi="宋体" w:eastAsia="宋体" w:cs="宋体"/>
          <w:bCs/>
          <w:color w:val="auto"/>
          <w:kern w:val="2"/>
          <w:sz w:val="24"/>
          <w:szCs w:val="24"/>
          <w:highlight w:val="none"/>
          <w:lang w:eastAsia="zh-CN"/>
        </w:rPr>
        <w:t>两</w:t>
      </w:r>
      <w:r>
        <w:rPr>
          <w:rFonts w:hint="eastAsia" w:ascii="宋体" w:hAnsi="宋体" w:eastAsia="宋体" w:cs="宋体"/>
          <w:bCs/>
          <w:color w:val="auto"/>
          <w:kern w:val="2"/>
          <w:sz w:val="24"/>
          <w:szCs w:val="24"/>
          <w:highlight w:val="none"/>
        </w:rPr>
        <w:t>种形式。</w:t>
      </w:r>
      <w:r>
        <w:rPr>
          <w:rFonts w:hint="eastAsia" w:ascii="宋体" w:hAnsi="宋体" w:eastAsia="宋体" w:cs="宋体"/>
          <w:bCs/>
          <w:color w:val="auto"/>
          <w:kern w:val="2"/>
          <w:sz w:val="24"/>
          <w:szCs w:val="24"/>
          <w:highlight w:val="none"/>
          <w:lang w:val="en-US" w:eastAsia="zh-CN"/>
        </w:rPr>
        <w:t>医疗机构通过以下任一种途径报案视为向保险公司履行保险事故通知义务。</w:t>
      </w:r>
    </w:p>
    <w:p w14:paraId="2CC1E0E8">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lang w:val="en-US" w:eastAsia="zh-CN"/>
        </w:rPr>
        <w:t>1、</w:t>
      </w:r>
      <w:r>
        <w:rPr>
          <w:rFonts w:hint="eastAsia" w:ascii="宋体" w:hAnsi="宋体" w:eastAsia="宋体" w:cs="宋体"/>
          <w:bCs/>
          <w:color w:val="auto"/>
          <w:kern w:val="2"/>
          <w:sz w:val="24"/>
          <w:szCs w:val="24"/>
          <w:highlight w:val="none"/>
        </w:rPr>
        <w:t>电话报案</w:t>
      </w:r>
    </w:p>
    <w:p w14:paraId="16198EC1">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default" w:ascii="宋体" w:hAnsi="宋体" w:eastAsia="宋体" w:cs="宋体"/>
          <w:bCs/>
          <w:color w:val="auto"/>
          <w:kern w:val="2"/>
          <w:sz w:val="24"/>
          <w:szCs w:val="24"/>
          <w:highlight w:val="none"/>
          <w:lang w:val="en-US" w:eastAsia="zh-CN"/>
        </w:rPr>
      </w:pPr>
      <w:r>
        <w:rPr>
          <w:rFonts w:hint="eastAsia" w:ascii="宋体" w:hAnsi="宋体" w:eastAsia="宋体" w:cs="宋体"/>
          <w:bCs/>
          <w:color w:val="auto"/>
          <w:kern w:val="2"/>
          <w:sz w:val="24"/>
          <w:szCs w:val="24"/>
          <w:highlight w:val="none"/>
        </w:rPr>
        <w:t>（1）“</w:t>
      </w:r>
      <w:r>
        <w:rPr>
          <w:rFonts w:hint="eastAsia" w:ascii="宋体" w:hAnsi="宋体" w:eastAsia="宋体" w:cs="宋体"/>
          <w:bCs/>
          <w:color w:val="auto"/>
          <w:kern w:val="2"/>
          <w:sz w:val="24"/>
          <w:szCs w:val="24"/>
          <w:highlight w:val="none"/>
          <w:lang w:val="en-US" w:eastAsia="zh-CN"/>
        </w:rPr>
        <w:t>湛江医调委</w:t>
      </w:r>
      <w:r>
        <w:rPr>
          <w:rFonts w:hint="eastAsia" w:ascii="宋体" w:hAnsi="宋体" w:eastAsia="宋体" w:cs="宋体"/>
          <w:bCs/>
          <w:color w:val="auto"/>
          <w:kern w:val="2"/>
          <w:sz w:val="24"/>
          <w:szCs w:val="24"/>
          <w:highlight w:val="none"/>
        </w:rPr>
        <w:t>”报案：</w:t>
      </w:r>
      <w:r>
        <w:rPr>
          <w:rFonts w:hint="eastAsia" w:ascii="宋体" w:hAnsi="宋体" w:eastAsia="宋体" w:cs="宋体"/>
          <w:bCs/>
          <w:color w:val="auto"/>
          <w:kern w:val="2"/>
          <w:sz w:val="24"/>
          <w:szCs w:val="24"/>
          <w:highlight w:val="none"/>
          <w:lang w:val="en-US" w:eastAsia="zh-CN"/>
        </w:rPr>
        <w:t>0759-3203337</w:t>
      </w:r>
    </w:p>
    <w:p w14:paraId="577DA6A2">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lang w:val="en-US" w:eastAsia="zh-CN"/>
        </w:rPr>
      </w:pPr>
      <w:r>
        <w:rPr>
          <w:rFonts w:hint="eastAsia" w:ascii="宋体" w:hAnsi="宋体" w:eastAsia="宋体" w:cs="宋体"/>
          <w:bCs/>
          <w:color w:val="auto"/>
          <w:kern w:val="2"/>
          <w:sz w:val="24"/>
          <w:szCs w:val="24"/>
          <w:highlight w:val="none"/>
        </w:rPr>
        <w:t>（</w:t>
      </w:r>
      <w:r>
        <w:rPr>
          <w:rFonts w:hint="eastAsia" w:ascii="宋体" w:hAnsi="宋体" w:eastAsia="宋体" w:cs="宋体"/>
          <w:bCs/>
          <w:color w:val="auto"/>
          <w:kern w:val="2"/>
          <w:sz w:val="24"/>
          <w:szCs w:val="24"/>
          <w:highlight w:val="none"/>
          <w:lang w:val="en-US" w:eastAsia="zh-CN"/>
        </w:rPr>
        <w:t>2</w:t>
      </w:r>
      <w:r>
        <w:rPr>
          <w:rFonts w:hint="eastAsia" w:ascii="宋体" w:hAnsi="宋体" w:eastAsia="宋体" w:cs="宋体"/>
          <w:bCs/>
          <w:color w:val="auto"/>
          <w:kern w:val="2"/>
          <w:sz w:val="24"/>
          <w:szCs w:val="24"/>
          <w:highlight w:val="none"/>
        </w:rPr>
        <w:t>）江泰经纪公司报案电话：</w:t>
      </w:r>
      <w:r>
        <w:rPr>
          <w:rFonts w:hint="eastAsia" w:ascii="宋体" w:hAnsi="宋体" w:eastAsia="宋体" w:cs="宋体"/>
          <w:bCs/>
          <w:color w:val="auto"/>
          <w:kern w:val="2"/>
          <w:sz w:val="24"/>
          <w:szCs w:val="24"/>
          <w:highlight w:val="none"/>
          <w:lang w:val="en-US" w:eastAsia="zh-CN"/>
        </w:rPr>
        <w:t>400-833-9277</w:t>
      </w:r>
    </w:p>
    <w:p w14:paraId="42DF3EF8">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lang w:val="en-US" w:eastAsia="zh-CN"/>
        </w:rPr>
      </w:pP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lang w:val="en-US" w:eastAsia="zh-CN"/>
        </w:rPr>
        <w:t>3</w:t>
      </w:r>
      <w:r>
        <w:rPr>
          <w:rFonts w:hint="eastAsia" w:ascii="宋体" w:hAnsi="宋体" w:eastAsia="宋体" w:cs="宋体"/>
          <w:bCs/>
          <w:color w:val="auto"/>
          <w:kern w:val="2"/>
          <w:sz w:val="24"/>
          <w:szCs w:val="24"/>
          <w:highlight w:val="none"/>
          <w:lang w:eastAsia="zh-CN"/>
        </w:rPr>
        <w:t>）保险公司报案电话：</w:t>
      </w:r>
    </w:p>
    <w:p w14:paraId="248DBEC0">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2、系统报案：参保医疗机构可通过广东和谐医调委医疗纠纷信息系统进行报案。系统地址：https://www.gdcyy.vip/yhpt/。</w:t>
      </w:r>
    </w:p>
    <w:p w14:paraId="1AF47486">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lang w:val="en-US" w:eastAsia="zh-CN" w:bidi="ar-SA"/>
        </w:rPr>
        <w:t>（二）</w:t>
      </w:r>
      <w:r>
        <w:rPr>
          <w:rFonts w:hint="eastAsia" w:ascii="宋体" w:hAnsi="宋体" w:eastAsia="宋体" w:cs="宋体"/>
          <w:b/>
          <w:bCs/>
          <w:color w:val="auto"/>
          <w:kern w:val="2"/>
          <w:sz w:val="24"/>
          <w:szCs w:val="24"/>
          <w:highlight w:val="none"/>
          <w:lang w:val="en-US" w:eastAsia="zh-CN" w:bidi="ar-SA"/>
        </w:rPr>
        <w:t>接、报案内容</w:t>
      </w:r>
    </w:p>
    <w:p w14:paraId="7ADBFB37">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报案内容包括：保单号</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rPr>
        <w:t>参保医疗机构名称</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rPr>
        <w:t>参保医疗机构报案人及联系电话</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rPr>
        <w:t>医疗纠纷发生时间（患</w:t>
      </w:r>
      <w:r>
        <w:rPr>
          <w:rFonts w:hint="eastAsia" w:ascii="宋体" w:hAnsi="宋体" w:eastAsia="宋体" w:cs="宋体"/>
          <w:bCs/>
          <w:color w:val="auto"/>
          <w:kern w:val="2"/>
          <w:sz w:val="24"/>
          <w:szCs w:val="24"/>
          <w:highlight w:val="none"/>
          <w:lang w:eastAsia="zh-CN"/>
        </w:rPr>
        <w:t>方</w:t>
      </w:r>
      <w:r>
        <w:rPr>
          <w:rFonts w:hint="eastAsia" w:ascii="宋体" w:hAnsi="宋体" w:eastAsia="宋体" w:cs="宋体"/>
          <w:bCs/>
          <w:color w:val="auto"/>
          <w:kern w:val="2"/>
          <w:sz w:val="24"/>
          <w:szCs w:val="24"/>
          <w:highlight w:val="none"/>
        </w:rPr>
        <w:t>首次投诉时间、参保医疗机构报案时间）</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rPr>
        <w:t>医疗纠纷病情简述</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rPr>
        <w:t>患</w:t>
      </w:r>
      <w:r>
        <w:rPr>
          <w:rFonts w:hint="eastAsia" w:ascii="宋体" w:hAnsi="宋体" w:eastAsia="宋体" w:cs="宋体"/>
          <w:bCs/>
          <w:color w:val="auto"/>
          <w:kern w:val="2"/>
          <w:sz w:val="24"/>
          <w:szCs w:val="24"/>
          <w:highlight w:val="none"/>
          <w:lang w:eastAsia="zh-CN"/>
        </w:rPr>
        <w:t>方</w:t>
      </w:r>
      <w:r>
        <w:rPr>
          <w:rFonts w:hint="eastAsia" w:ascii="宋体" w:hAnsi="宋体" w:eastAsia="宋体" w:cs="宋体"/>
          <w:bCs/>
          <w:color w:val="auto"/>
          <w:kern w:val="2"/>
          <w:sz w:val="24"/>
          <w:szCs w:val="24"/>
          <w:highlight w:val="none"/>
        </w:rPr>
        <w:t>诉求</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rPr>
        <w:t>医疗机构意见等。</w:t>
      </w:r>
    </w:p>
    <w:p w14:paraId="7F14B1B6">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（三）报案转接</w:t>
      </w:r>
    </w:p>
    <w:p w14:paraId="1580D4D1">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 w:val="0"/>
          <w:bCs/>
          <w:color w:val="auto"/>
          <w:kern w:val="2"/>
          <w:sz w:val="24"/>
          <w:szCs w:val="24"/>
          <w:highlight w:val="none"/>
        </w:rPr>
      </w:pPr>
      <w:r>
        <w:rPr>
          <w:rFonts w:hint="eastAsia" w:ascii="宋体" w:hAnsi="宋体" w:eastAsia="宋体" w:cs="宋体"/>
          <w:b w:val="0"/>
          <w:bCs/>
          <w:color w:val="auto"/>
          <w:kern w:val="2"/>
          <w:sz w:val="24"/>
          <w:szCs w:val="24"/>
          <w:highlight w:val="none"/>
        </w:rPr>
        <w:t>江泰广东营业部每周对各医疗机构的报案邮件进行汇总、整理，并定期向广东和谐医调委及各地医调委核实确定已实际受理调解或已经诉讼的案件。</w:t>
      </w:r>
    </w:p>
    <w:p w14:paraId="6DFA29FF">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 w:val="0"/>
          <w:bCs/>
          <w:color w:val="auto"/>
          <w:kern w:val="2"/>
          <w:sz w:val="24"/>
          <w:szCs w:val="24"/>
          <w:highlight w:val="none"/>
        </w:rPr>
      </w:pPr>
      <w:r>
        <w:rPr>
          <w:rFonts w:hint="eastAsia" w:ascii="宋体" w:hAnsi="宋体" w:eastAsia="宋体" w:cs="宋体"/>
          <w:b w:val="0"/>
          <w:bCs/>
          <w:color w:val="auto"/>
          <w:kern w:val="2"/>
          <w:sz w:val="24"/>
          <w:szCs w:val="24"/>
          <w:highlight w:val="none"/>
        </w:rPr>
        <w:t>江泰广东营业部负责统一管理报案情况，并及时向保险公司进行转报案，同时定期向保险公司反馈已报案件的调解立案及受理情况。保险公司应当根据案件的实际处理情况定期对案件进行清理，对于保险公司立案但经广东和谐医调委反馈未予受理调解，也未进入鉴定、诉讼程序超过六个月的案件，以及患者放弃索赔超过一年的案件，保险公司应对案件进行关闭或作销案、零结案处理，但不得因此排除此类案件后续索赔的权利。</w:t>
      </w:r>
    </w:p>
    <w:p w14:paraId="2F70F9FE">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color w:val="auto"/>
          <w:kern w:val="2"/>
          <w:sz w:val="24"/>
          <w:szCs w:val="24"/>
          <w:highlight w:val="none"/>
        </w:rPr>
      </w:pPr>
    </w:p>
    <w:p w14:paraId="1BB6C138">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三、医调委介入程序</w:t>
      </w:r>
    </w:p>
    <w:p w14:paraId="3C659471">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（一）特发、重大案件现场处理</w:t>
      </w:r>
    </w:p>
    <w:p w14:paraId="2777AE6F">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对于特发、重大案件，医疗机构在案件发生后立即通知当地医调委，由医调委按照程序组织调解员进行现场调查、取证，介入调解。</w:t>
      </w:r>
    </w:p>
    <w:p w14:paraId="6D661DD4">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（二）医调委案件处理程序</w:t>
      </w:r>
    </w:p>
    <w:p w14:paraId="1069E4FF">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“广东和谐医调委”根据医疗纠纷案件赔付金额（不含法律费用），作以下区分处理：</w:t>
      </w:r>
    </w:p>
    <w:p w14:paraId="01F49C4F">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1、赔付金额（不含法律费用）在5万元以内（含5万元）的医疗纠纷案件（不含法律费用），广东和谐医调委及各地医调委调解员有权自主引导医患纠纷当事人达成调解协议，达成调解协议后，保险公司根据保险合同将协议赔偿款项直接支付给患方或医疗机构。</w:t>
      </w:r>
    </w:p>
    <w:p w14:paraId="216359B2">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2、赔付金额（不含法律费用）在5万元以上，20万元以内（含20万元）的医疗纠纷案件（不含法律费用），由广东和谐医调委案件管理中心组织专家对诊疗病历等相关资料进行书面分析并核定损失。广东和谐医调委及各地医调委按照专家分析意见进行调解，达成调解协议后，保险公司根据保险合同将协议赔偿款项直接支付给患方或医疗机构。</w:t>
      </w:r>
    </w:p>
    <w:p w14:paraId="4643EE14">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3、赔付金额（不含法律费用）在20万元以上的医疗纠纷案件（不含法律费用），由“广东和谐医调委”组织召开专家咨询听证会，由到会医学、法律专家现场就案件进行分析并核定损失。广东和谐医调委及各地医调委按照听证会专家分析意见进行调解，达成调解协议后，保险公司根据保险合同将协议赔偿款项直接支付给患方或医疗机构。</w:t>
      </w:r>
    </w:p>
    <w:p w14:paraId="4AD1A25E">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4、对于经过医疗事故鉴定、医疗损害鉴定程序并已有明确生效结论，继续或重新进行调解的案件，人民调解员根据鉴定结论进行调解，达成调解协议后，保险公司根据保险合同将协议赔偿款项直接支付给患方或医疗机构。</w:t>
      </w:r>
    </w:p>
    <w:p w14:paraId="79C1590E">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val="0"/>
          <w:color w:val="auto"/>
          <w:kern w:val="2"/>
          <w:sz w:val="24"/>
          <w:szCs w:val="24"/>
          <w:highlight w:val="none"/>
          <w:lang w:eastAsia="zh-CN"/>
        </w:rPr>
      </w:pPr>
    </w:p>
    <w:p w14:paraId="13D61772">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val="0"/>
          <w:color w:val="auto"/>
          <w:kern w:val="2"/>
          <w:sz w:val="24"/>
          <w:szCs w:val="24"/>
          <w:highlight w:val="none"/>
          <w:lang w:eastAsia="zh-CN"/>
        </w:rPr>
      </w:pPr>
      <w:r>
        <w:rPr>
          <w:rFonts w:hint="eastAsia" w:ascii="宋体" w:hAnsi="宋体" w:eastAsia="宋体" w:cs="宋体"/>
          <w:b/>
          <w:bCs w:val="0"/>
          <w:color w:val="auto"/>
          <w:kern w:val="2"/>
          <w:sz w:val="24"/>
          <w:szCs w:val="24"/>
          <w:highlight w:val="none"/>
          <w:lang w:eastAsia="zh-CN"/>
        </w:rPr>
        <w:t>四、自主处理案件处理程序</w:t>
      </w:r>
    </w:p>
    <w:p w14:paraId="2A198B1C">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
          <w:bCs w:val="0"/>
          <w:color w:val="auto"/>
          <w:kern w:val="2"/>
          <w:sz w:val="24"/>
          <w:szCs w:val="24"/>
          <w:highlight w:val="none"/>
          <w:lang w:eastAsia="zh-CN"/>
        </w:rPr>
      </w:pPr>
      <w:r>
        <w:rPr>
          <w:rFonts w:hint="eastAsia" w:ascii="宋体" w:hAnsi="宋体" w:eastAsia="宋体" w:cs="宋体"/>
          <w:bCs/>
          <w:color w:val="auto"/>
          <w:kern w:val="2"/>
          <w:sz w:val="24"/>
          <w:szCs w:val="24"/>
          <w:highlight w:val="none"/>
        </w:rPr>
        <w:t>医疗机构根据合同特别约定的</w:t>
      </w:r>
      <w:r>
        <w:rPr>
          <w:rFonts w:hint="eastAsia" w:ascii="宋体" w:hAnsi="宋体" w:eastAsia="宋体" w:cs="宋体"/>
          <w:bCs/>
          <w:color w:val="auto"/>
          <w:kern w:val="2"/>
          <w:sz w:val="24"/>
          <w:szCs w:val="24"/>
          <w:highlight w:val="none"/>
          <w:lang w:eastAsia="zh-CN"/>
        </w:rPr>
        <w:t>自主处理</w:t>
      </w:r>
      <w:r>
        <w:rPr>
          <w:rFonts w:hint="eastAsia" w:ascii="宋体" w:hAnsi="宋体" w:eastAsia="宋体" w:cs="宋体"/>
          <w:bCs/>
          <w:color w:val="auto"/>
          <w:kern w:val="2"/>
          <w:sz w:val="24"/>
          <w:szCs w:val="24"/>
          <w:highlight w:val="none"/>
        </w:rPr>
        <w:t>权限</w:t>
      </w:r>
      <w:r>
        <w:rPr>
          <w:rFonts w:hint="eastAsia" w:ascii="宋体" w:hAnsi="宋体" w:eastAsia="宋体" w:cs="宋体"/>
          <w:bCs/>
          <w:color w:val="auto"/>
          <w:kern w:val="2"/>
          <w:sz w:val="24"/>
          <w:szCs w:val="24"/>
          <w:highlight w:val="none"/>
          <w:lang w:eastAsia="zh-CN"/>
        </w:rPr>
        <w:t>，自行与患者进行协商和解，在一万元内（不含法律费用）达成赔（补）偿协议，医疗机构整理好索赔资料提交保险公司进行索赔，保险公司根据医疗机构的申请将协议赔偿款项支付给患者或医疗机构。</w:t>
      </w:r>
    </w:p>
    <w:p w14:paraId="39314245">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val="0"/>
          <w:color w:val="auto"/>
          <w:kern w:val="2"/>
          <w:sz w:val="24"/>
          <w:szCs w:val="24"/>
          <w:lang w:val="en-US" w:eastAsia="zh-CN" w:bidi="ar-SA"/>
        </w:rPr>
      </w:pPr>
    </w:p>
    <w:p w14:paraId="27D6C378">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val="0"/>
          <w:color w:val="auto"/>
          <w:kern w:val="2"/>
          <w:sz w:val="24"/>
          <w:szCs w:val="24"/>
          <w:highlight w:val="none"/>
          <w:lang w:eastAsia="zh-CN"/>
        </w:rPr>
      </w:pPr>
      <w:r>
        <w:rPr>
          <w:rFonts w:hint="eastAsia" w:ascii="宋体" w:hAnsi="宋体" w:eastAsia="宋体" w:cs="宋体"/>
          <w:b/>
          <w:bCs w:val="0"/>
          <w:color w:val="auto"/>
          <w:kern w:val="2"/>
          <w:sz w:val="24"/>
          <w:szCs w:val="24"/>
          <w:lang w:val="en-US" w:eastAsia="zh-CN" w:bidi="ar-SA"/>
        </w:rPr>
        <w:t>五、</w:t>
      </w:r>
      <w:r>
        <w:rPr>
          <w:rFonts w:hint="eastAsia" w:ascii="宋体" w:hAnsi="宋体" w:eastAsia="宋体" w:cs="宋体"/>
          <w:b/>
          <w:bCs w:val="0"/>
          <w:color w:val="auto"/>
          <w:kern w:val="2"/>
          <w:sz w:val="24"/>
          <w:szCs w:val="24"/>
          <w:highlight w:val="none"/>
          <w:lang w:eastAsia="zh-CN"/>
        </w:rPr>
        <w:t>司法诉讼案件处理程序</w:t>
      </w:r>
    </w:p>
    <w:p w14:paraId="5A5E0D02">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val="0"/>
          <w:color w:val="auto"/>
          <w:kern w:val="2"/>
          <w:sz w:val="24"/>
          <w:szCs w:val="24"/>
          <w:highlight w:val="none"/>
          <w:lang w:val="en-US" w:eastAsia="zh-CN"/>
        </w:rPr>
      </w:pPr>
      <w:r>
        <w:rPr>
          <w:rFonts w:hint="eastAsia" w:ascii="宋体" w:hAnsi="宋体" w:eastAsia="宋体" w:cs="宋体"/>
          <w:b/>
          <w:bCs w:val="0"/>
          <w:color w:val="auto"/>
          <w:kern w:val="2"/>
          <w:sz w:val="24"/>
          <w:szCs w:val="24"/>
          <w:highlight w:val="none"/>
          <w:lang w:val="en-US" w:eastAsia="zh-CN"/>
        </w:rPr>
        <w:t>江泰经纪公司对司法诉讼案件进行流程管理及协调：</w:t>
      </w:r>
    </w:p>
    <w:p w14:paraId="27D09CAF">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（一）医责险诉讼案件报案及资料提交</w:t>
      </w:r>
    </w:p>
    <w:p w14:paraId="2464F1F1">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color w:val="auto"/>
          <w:kern w:val="0"/>
          <w:sz w:val="24"/>
          <w:szCs w:val="24"/>
          <w:highlight w:val="none"/>
          <w:lang w:val="en-US" w:eastAsia="zh-CN" w:bidi="ar-SA"/>
        </w:rPr>
        <w:t>各参保医疗机构应在收到法院诉讼传票后1个工作日内，将法院传票及原告诉状扫描件发至江泰法务部邮箱：ssgl@jtbxjj.cn，同时，医疗机构需自查案件是否已进行医责险报案，尚未报案的，应及时填写《报案登记表》发送至广东医责险统一报案邮箱 ：ssgl@jtbxjj.cn，或通过广东省医患纠纷系统信息化平台进行线上报案。江泰收到医疗机构保险报案后将《报案登记表》转保险公司报案管理邮箱。</w:t>
      </w:r>
    </w:p>
    <w:p w14:paraId="29CEB60D">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lang w:val="en-US" w:eastAsia="zh-CN" w:bidi="ar-SA"/>
        </w:rPr>
        <w:t>（二）</w:t>
      </w:r>
      <w:r>
        <w:rPr>
          <w:rFonts w:hint="eastAsia" w:ascii="宋体" w:hAnsi="宋体" w:eastAsia="宋体" w:cs="宋体"/>
          <w:b/>
          <w:bCs/>
          <w:color w:val="auto"/>
          <w:kern w:val="2"/>
          <w:sz w:val="24"/>
          <w:szCs w:val="24"/>
          <w:highlight w:val="none"/>
          <w:lang w:val="en-US" w:eastAsia="zh-CN" w:bidi="ar-SA"/>
        </w:rPr>
        <w:t>关于律师代理协议的签订</w:t>
      </w:r>
    </w:p>
    <w:p w14:paraId="3D95A8C7">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诉讼案件委托事项以参保医疗机构、律师、保险公司签订三方委托协议为原则，医疗机构要求与律师签订双方委托协议的，若无特殊情况，尊重医院意愿。具体操作如下：</w:t>
      </w:r>
    </w:p>
    <w:p w14:paraId="6A4BEEA8">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参保医疗机构、律师和保险公司签订三方委托协议的，则待三方确认协议文本无误，并经医疗机构、律师签字、盖章确认后寄送保险公司最终盖章确认，保险公司盖章后应回寄医院、律师协议文本各一份（亦可先由保险公司盖章确认后再寄送医疗机构、律师确认，并由医疗机构或律师之中最后签署协议的一方负责回寄保险公司）。</w:t>
      </w:r>
    </w:p>
    <w:p w14:paraId="4325F7A8">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2、参保医疗机构和律师签订双方委托协议的，应在协议签订后提供协议文本的扫描件给江泰法务部及保险公司备案。</w:t>
      </w:r>
    </w:p>
    <w:p w14:paraId="79669026">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lang w:val="en-US" w:eastAsia="zh-CN" w:bidi="ar-SA"/>
        </w:rPr>
        <w:t>（三）</w:t>
      </w:r>
      <w:r>
        <w:rPr>
          <w:rFonts w:hint="eastAsia" w:ascii="宋体" w:hAnsi="宋体" w:eastAsia="宋体" w:cs="宋体"/>
          <w:b/>
          <w:bCs/>
          <w:color w:val="auto"/>
          <w:kern w:val="2"/>
          <w:sz w:val="24"/>
          <w:szCs w:val="24"/>
          <w:highlight w:val="none"/>
          <w:lang w:val="en-US" w:eastAsia="zh-CN" w:bidi="ar-SA"/>
        </w:rPr>
        <w:t>律师费的计算与支付</w:t>
      </w:r>
    </w:p>
    <w:p w14:paraId="062CAD01">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1、律师费的计算</w:t>
      </w:r>
    </w:p>
    <w:p w14:paraId="3E2F23AB">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律师费原则上参考广东省律师服务政府指导价《广东省物价局、司法厅律师服务收费管理实施办法》的通知（粤价〔2006〕298号）中涉及财产的民事、行政诉讼收费标准计算。特殊情况律师费的计算：</w:t>
      </w:r>
    </w:p>
    <w:p w14:paraId="5A1F34A4">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原告起诉参保医疗机构的诉求中，除投诉医疗机构的诊疗行为存在不足外，还附带投诉医疗机构其他方面的问题，如：行政管理、服务态度、收费不合理等的，此类案件亦属医责险统保范围内，律师需针对医院诊疗行为及原告附带投诉部分整体作答辩工作，律师费应按照整个赔案计算，不以所谓“保险责任范围内的比例”为区分。</w:t>
      </w:r>
    </w:p>
    <w:p w14:paraId="428E7E0C">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（2）原告因同一患者的损害事由起诉两家及以上医疗机构，其中一家为参保医疗机构，其余为非保医疗机构的，律师费按照整个赔案计算。</w:t>
      </w:r>
    </w:p>
    <w:p w14:paraId="3B920C51">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原告因同一患者的损害事由起诉两家或以上参保医疗机构的，因诉讼案件之于每家医疗机构在其保单内均为独立赔案，故每家医疗机构就该诉案的律师费应作为独立赔案分别计算整个案件的律师费。具体操作如下 ：</w:t>
      </w:r>
    </w:p>
    <w:p w14:paraId="6408D521">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①每家被诉参保医疗机构均已各自委托法律顾问或指定律师代理的，每家医疗机构的律师费独立计算；</w:t>
      </w:r>
    </w:p>
    <w:p w14:paraId="398A6F3C">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②参保医疗机构需江泰法务部协助推荐律师的，江泰法务部应首先咨询各被诉医疗机构是否同意共同委托一位律师代理应诉，如各医疗机构均同意，则由江泰法务部推荐合适的律师代理案件，律师费按一个赔案上浮20%计算；如各被诉医疗机构不能同意或就律师人选不能达成一致的，江泰法务部另行分别为各被诉医疗机构推荐代理律师，每家被诉医疗机构的律师费参考广东省律师服务政府指导价《广东省物价局、司法厅律师服务收费管理实施办法》的通知 （粤价〔2006〕298号）中涉及财产的民事、行政诉讼收费标准计算。</w:t>
      </w:r>
    </w:p>
    <w:p w14:paraId="38981E9C">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2、律师费的支付</w:t>
      </w:r>
    </w:p>
    <w:p w14:paraId="4578DD42">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鉴于医疗损害诉讼案件本身的特点，律师费支付原则上采预支付形式。具体操作如下：</w:t>
      </w:r>
    </w:p>
    <w:p w14:paraId="0906A07E">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参保医疗机构自行委托法律顾问或指定律师代理案件，并与律师签订双方委托协议的，由医疗机构先行支付律师费，待案件结案后连同案件其他赔偿项目一并向保险公司索赔。具体支付方式以医院与律师的约定为准。</w:t>
      </w:r>
    </w:p>
    <w:p w14:paraId="0E29BC40">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参保医疗机构自行委托、指定，或经由江泰法务部推荐律师代理案件，并采取与保险公司、律师签订三方委托协议形式的，由保险公司直接支付律师费给律师。律师费支付分两部分进行，一期费用在三方签订协议后、开庭前由保险公司先行支付一半，余款（二期费用）在一审判决后支付完毕；若有二审的，律师费在二审开庭前由保险公司进行支付。</w:t>
      </w:r>
    </w:p>
    <w:p w14:paraId="0FF991EC">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参保医疗机构人员及律师在诉讼过程中产生的合理的、必要的差旅费用（交通费、住宿费、伙食费等）不计入案件律师费，凭票实报实销。差旅费标准参照《财政部关于调整中央和国家机关差旅住宿费标准等有关问题的通知》财行〔2015〕497号执行，差旅费伙食费按照100元/人/天的标准进行补助，如有最新标准，按最新标准执行。</w:t>
      </w:r>
    </w:p>
    <w:p w14:paraId="5F10C092">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3、另有约定的处理</w:t>
      </w:r>
    </w:p>
    <w:p w14:paraId="77EEAB45">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（1）若律师与医疗机构之间事前就个案律师费计算事项和支付方式另有更优惠约定的，保险公司按照该约定支付律师费。</w:t>
      </w:r>
    </w:p>
    <w:p w14:paraId="68392582">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（2）若保险公司与其推荐的合作律师事前就个案律师费计算事项和支付方式另有约定的，由保险公司按照该约定与律师另行结算并支付律师费。</w:t>
      </w:r>
    </w:p>
    <w:p w14:paraId="5B7EA510">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4、江泰经纪公司视案件的实际情况和复杂程度，启动案件诉讼案件风险评估程序，在案件审理过程中司法鉴定程序启动前邀请专家对案件焦点、应诉要点进行分析；</w:t>
      </w:r>
    </w:p>
    <w:p w14:paraId="082803C9">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5、案件审理终结后，案件代理律师或医疗机构应及时将法院裁决/调解/判决文书发至江泰经纪公司，江泰经纪公司收到裁决/调解/判决文书后应及时报保险公司。江泰经纪公司及保险公司可就案件是否上诉/再审等问题提出建议供医院参考，医疗机构有权最终决定是否申请上诉/再审。</w:t>
      </w:r>
    </w:p>
    <w:p w14:paraId="25463CCE">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 w:val="0"/>
          <w:bCs/>
          <w:color w:val="auto"/>
          <w:kern w:val="2"/>
          <w:sz w:val="24"/>
          <w:szCs w:val="24"/>
          <w:highlight w:val="none"/>
          <w:lang w:val="en-US" w:eastAsia="zh-CN"/>
        </w:rPr>
      </w:pPr>
      <w:r>
        <w:rPr>
          <w:rFonts w:hint="eastAsia" w:ascii="宋体" w:hAnsi="宋体" w:eastAsia="宋体" w:cs="宋体"/>
          <w:color w:val="auto"/>
          <w:kern w:val="0"/>
          <w:sz w:val="24"/>
          <w:szCs w:val="24"/>
          <w:highlight w:val="none"/>
          <w:lang w:val="en-US" w:eastAsia="zh-CN" w:bidi="ar-SA"/>
        </w:rPr>
        <w:t>6、江泰经纪公司跟进案件处理进度，对于在法官或仲裁员主持下达成调解或医患自行和解的案件，督促保险公司在正式调解/和解前确认调解/和解方案。</w:t>
      </w:r>
    </w:p>
    <w:p w14:paraId="5180B7DE">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color w:val="auto"/>
          <w:kern w:val="2"/>
          <w:sz w:val="24"/>
          <w:szCs w:val="24"/>
          <w:highlight w:val="none"/>
          <w:lang w:eastAsia="zh-CN"/>
        </w:rPr>
      </w:pPr>
    </w:p>
    <w:p w14:paraId="643E3741">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lang w:eastAsia="zh-CN"/>
        </w:rPr>
        <w:t>六</w:t>
      </w:r>
      <w:r>
        <w:rPr>
          <w:rFonts w:hint="eastAsia" w:ascii="宋体" w:hAnsi="宋体" w:eastAsia="宋体" w:cs="宋体"/>
          <w:b/>
          <w:color w:val="auto"/>
          <w:kern w:val="2"/>
          <w:sz w:val="24"/>
          <w:szCs w:val="24"/>
          <w:highlight w:val="none"/>
        </w:rPr>
        <w:t>、保险索赔、理赔程序</w:t>
      </w:r>
    </w:p>
    <w:p w14:paraId="7C244B5A">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1、调解结案案件索赔、理赔程序</w:t>
      </w:r>
    </w:p>
    <w:p w14:paraId="2AFD1517">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调解成功的案件，由“医调委”将医疗机构递交的资料代转江泰经纪公司,由江泰经纪公司协助医疗机构进行索赔,保险公司根据保险合同将协议赔偿款项直接支付给患方或医疗机构。</w:t>
      </w:r>
    </w:p>
    <w:p w14:paraId="6F8FBC3B">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2、</w:t>
      </w:r>
      <w:r>
        <w:rPr>
          <w:rFonts w:hint="eastAsia" w:ascii="宋体" w:hAnsi="宋体" w:eastAsia="宋体" w:cs="宋体"/>
          <w:b/>
          <w:bCs/>
          <w:color w:val="auto"/>
          <w:kern w:val="2"/>
          <w:sz w:val="24"/>
          <w:szCs w:val="24"/>
          <w:highlight w:val="none"/>
          <w:lang w:eastAsia="zh-CN"/>
        </w:rPr>
        <w:t>自主处理</w:t>
      </w:r>
      <w:r>
        <w:rPr>
          <w:rFonts w:hint="eastAsia" w:ascii="宋体" w:hAnsi="宋体" w:eastAsia="宋体" w:cs="宋体"/>
          <w:b/>
          <w:bCs/>
          <w:color w:val="auto"/>
          <w:kern w:val="2"/>
          <w:sz w:val="24"/>
          <w:szCs w:val="24"/>
          <w:highlight w:val="none"/>
        </w:rPr>
        <w:t>结案案件索赔、理赔程序</w:t>
      </w:r>
    </w:p>
    <w:p w14:paraId="112E039B">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lang w:eastAsia="zh-CN"/>
        </w:rPr>
      </w:pPr>
      <w:r>
        <w:rPr>
          <w:rFonts w:hint="eastAsia" w:ascii="宋体" w:hAnsi="宋体" w:eastAsia="宋体" w:cs="宋体"/>
          <w:bCs/>
          <w:color w:val="auto"/>
          <w:kern w:val="2"/>
          <w:sz w:val="24"/>
          <w:szCs w:val="24"/>
          <w:highlight w:val="none"/>
        </w:rPr>
        <w:t>医疗机构根据本合同特别约定，使用自主处理权限，与患方进行协商并达成一致的医疗纠纷案件，统一将索赔资料递交“医调委”，由“医调委”转交江泰经纪公司,由江泰经纪公司协助医疗机构进行索赔</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rPr>
        <w:t>保险公司根据保险合同将协议赔偿款项直接支付给患方或医疗机构。</w:t>
      </w:r>
    </w:p>
    <w:p w14:paraId="4731A92D">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
          <w:bCs/>
          <w:color w:val="auto"/>
          <w:kern w:val="2"/>
          <w:sz w:val="24"/>
          <w:szCs w:val="24"/>
          <w:highlight w:val="none"/>
        </w:rPr>
        <w:t>3、仲裁、</w:t>
      </w:r>
      <w:r>
        <w:rPr>
          <w:rFonts w:hint="eastAsia" w:ascii="宋体" w:hAnsi="宋体" w:eastAsia="宋体" w:cs="宋体"/>
          <w:b/>
          <w:bCs/>
          <w:color w:val="auto"/>
          <w:kern w:val="2"/>
          <w:sz w:val="24"/>
          <w:szCs w:val="24"/>
          <w:highlight w:val="none"/>
          <w:lang w:eastAsia="zh-CN"/>
        </w:rPr>
        <w:t>诉讼等</w:t>
      </w:r>
      <w:r>
        <w:rPr>
          <w:rFonts w:hint="eastAsia" w:ascii="宋体" w:hAnsi="宋体" w:eastAsia="宋体" w:cs="宋体"/>
          <w:b/>
          <w:bCs/>
          <w:color w:val="auto"/>
          <w:kern w:val="2"/>
          <w:sz w:val="24"/>
          <w:szCs w:val="24"/>
          <w:highlight w:val="none"/>
        </w:rPr>
        <w:t>司法途径结案案件索赔、理赔程序</w:t>
      </w:r>
    </w:p>
    <w:p w14:paraId="1BC680B7">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经仲裁裁决程序、法院判决或法院调解程序结案的案件，统一由江泰经纪公司协助医疗机构进行索赔，保险公司根据保险合同将赔偿款项直接支付给患方或医疗机构。</w:t>
      </w:r>
    </w:p>
    <w:p w14:paraId="6FE76C95">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4、行政介入处理结案案件索赔、理赔程序</w:t>
      </w:r>
    </w:p>
    <w:p w14:paraId="74B15ED1">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依据行政介入处理意见结案的案件，统一由“</w:t>
      </w:r>
      <w:r>
        <w:rPr>
          <w:rFonts w:hint="eastAsia" w:ascii="宋体" w:hAnsi="宋体" w:eastAsia="宋体" w:cs="宋体"/>
          <w:bCs/>
          <w:color w:val="auto"/>
          <w:kern w:val="2"/>
          <w:sz w:val="24"/>
          <w:szCs w:val="24"/>
          <w:highlight w:val="none"/>
          <w:lang w:eastAsia="zh-CN"/>
        </w:rPr>
        <w:t>广东和谐</w:t>
      </w:r>
      <w:r>
        <w:rPr>
          <w:rFonts w:hint="eastAsia" w:ascii="宋体" w:hAnsi="宋体" w:eastAsia="宋体" w:cs="宋体"/>
          <w:bCs/>
          <w:color w:val="auto"/>
          <w:kern w:val="2"/>
          <w:sz w:val="24"/>
          <w:szCs w:val="24"/>
          <w:highlight w:val="none"/>
        </w:rPr>
        <w:t>医调委”将医疗机构递交的索赔资料代转江泰保险经纪公司</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rPr>
        <w:t>由江泰保险经纪公司协助医疗机构进行索赔,保险公司根据保险合同将协议赔偿款项直接支付给患方或医疗机构。</w:t>
      </w:r>
    </w:p>
    <w:p w14:paraId="2044D2EA">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color w:val="auto"/>
          <w:kern w:val="2"/>
          <w:sz w:val="24"/>
          <w:szCs w:val="24"/>
          <w:highlight w:val="none"/>
          <w:lang w:eastAsia="zh-CN"/>
        </w:rPr>
      </w:pPr>
      <w:r>
        <w:rPr>
          <w:rFonts w:hint="eastAsia" w:ascii="宋体" w:hAnsi="宋体" w:eastAsia="宋体" w:cs="宋体"/>
          <w:b/>
          <w:bCs/>
          <w:color w:val="auto"/>
          <w:kern w:val="2"/>
          <w:sz w:val="24"/>
          <w:szCs w:val="24"/>
          <w:highlight w:val="none"/>
          <w:lang w:val="en-US" w:eastAsia="zh-CN"/>
        </w:rPr>
        <w:t>5、</w:t>
      </w:r>
      <w:r>
        <w:rPr>
          <w:rFonts w:hint="eastAsia" w:ascii="宋体" w:hAnsi="宋体" w:eastAsia="宋体" w:cs="宋体"/>
          <w:b/>
          <w:bCs/>
          <w:color w:val="auto"/>
          <w:kern w:val="2"/>
          <w:sz w:val="24"/>
          <w:szCs w:val="24"/>
          <w:highlight w:val="none"/>
          <w:lang w:eastAsia="zh-CN"/>
        </w:rPr>
        <w:t>索赔资料要求：</w:t>
      </w:r>
    </w:p>
    <w:p w14:paraId="4CCA93EA">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2" w:firstLineChars="200"/>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根据案件类型，以及是否涉及患者死亡、伤残，医方应提供对应的索赔资料如下表所列：</w:t>
      </w:r>
    </w:p>
    <w:p w14:paraId="714E1A35">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（1）调解案件；仲裁、诉讼等司法途径案件；行政介入处理案件：</w:t>
      </w:r>
    </w:p>
    <w:p w14:paraId="1B67CE36">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①　</w:t>
      </w:r>
      <w:r>
        <w:rPr>
          <w:rFonts w:hint="eastAsia" w:ascii="宋体" w:hAnsi="宋体" w:eastAsia="宋体" w:cs="宋体"/>
          <w:bCs/>
          <w:color w:val="auto"/>
          <w:kern w:val="2"/>
          <w:sz w:val="24"/>
          <w:szCs w:val="24"/>
          <w:highlight w:val="none"/>
          <w:lang w:val="en-US" w:eastAsia="zh-CN" w:bidi="ar-SA"/>
        </w:rPr>
        <w:t>医疗机构执业许可证、组织机构代码证（或事业单位法人证书）复印件；</w:t>
      </w:r>
    </w:p>
    <w:p w14:paraId="251E256C">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②　</w:t>
      </w:r>
      <w:r>
        <w:rPr>
          <w:rFonts w:hint="eastAsia" w:ascii="宋体" w:hAnsi="宋体" w:eastAsia="宋体" w:cs="宋体"/>
          <w:bCs/>
          <w:color w:val="auto"/>
          <w:kern w:val="2"/>
          <w:sz w:val="24"/>
          <w:szCs w:val="24"/>
          <w:highlight w:val="none"/>
          <w:lang w:val="en-US" w:eastAsia="zh-CN" w:bidi="ar-SA"/>
        </w:rPr>
        <w:t>当事医务人员执业证复印件；</w:t>
      </w:r>
    </w:p>
    <w:p w14:paraId="0B7B7F25">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③　</w:t>
      </w:r>
      <w:r>
        <w:rPr>
          <w:rFonts w:hint="eastAsia" w:ascii="宋体" w:hAnsi="宋体" w:eastAsia="宋体" w:cs="宋体"/>
          <w:bCs/>
          <w:color w:val="auto"/>
          <w:kern w:val="2"/>
          <w:sz w:val="24"/>
          <w:szCs w:val="24"/>
          <w:highlight w:val="none"/>
          <w:lang w:val="en-US" w:eastAsia="zh-CN" w:bidi="ar-SA"/>
        </w:rPr>
        <w:t>医院授权委托书原件及代理人身份证复印件；</w:t>
      </w:r>
    </w:p>
    <w:p w14:paraId="3D452770">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④　</w:t>
      </w:r>
      <w:r>
        <w:rPr>
          <w:rFonts w:hint="eastAsia" w:ascii="宋体" w:hAnsi="宋体" w:eastAsia="宋体" w:cs="宋体"/>
          <w:bCs/>
          <w:color w:val="auto"/>
          <w:kern w:val="2"/>
          <w:sz w:val="24"/>
          <w:szCs w:val="24"/>
          <w:highlight w:val="none"/>
          <w:lang w:val="en-US" w:eastAsia="zh-CN" w:bidi="ar-SA"/>
        </w:rPr>
        <w:t>法定代表人身份证明书；</w:t>
      </w:r>
    </w:p>
    <w:p w14:paraId="47E4983F">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⑤　</w:t>
      </w:r>
      <w:r>
        <w:rPr>
          <w:rFonts w:hint="eastAsia" w:ascii="宋体" w:hAnsi="宋体" w:eastAsia="宋体" w:cs="宋体"/>
          <w:bCs/>
          <w:color w:val="auto"/>
          <w:kern w:val="2"/>
          <w:sz w:val="24"/>
          <w:szCs w:val="24"/>
          <w:highlight w:val="none"/>
          <w:lang w:val="en-US" w:eastAsia="zh-CN" w:bidi="ar-SA"/>
        </w:rPr>
        <w:t>患者身份证明材料复印件；</w:t>
      </w:r>
    </w:p>
    <w:p w14:paraId="71A73498">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⑥　</w:t>
      </w:r>
      <w:r>
        <w:rPr>
          <w:rFonts w:hint="eastAsia" w:ascii="宋体" w:hAnsi="宋体" w:eastAsia="宋体" w:cs="宋体"/>
          <w:bCs/>
          <w:color w:val="auto"/>
          <w:kern w:val="2"/>
          <w:sz w:val="24"/>
          <w:szCs w:val="24"/>
          <w:highlight w:val="none"/>
          <w:lang w:val="en-US" w:eastAsia="zh-CN" w:bidi="ar-SA"/>
        </w:rPr>
        <w:t>患方相关权利人身份证明及关系证明复印件、授权委托书及委托代理人身份证复印件。</w:t>
      </w:r>
    </w:p>
    <w:p w14:paraId="558E3A7A">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⑦　</w:t>
      </w:r>
      <w:r>
        <w:rPr>
          <w:rFonts w:hint="eastAsia" w:ascii="宋体" w:hAnsi="宋体" w:eastAsia="宋体" w:cs="宋体"/>
          <w:bCs/>
          <w:color w:val="auto"/>
          <w:kern w:val="2"/>
          <w:sz w:val="24"/>
          <w:szCs w:val="24"/>
          <w:highlight w:val="none"/>
          <w:lang w:val="en-US" w:eastAsia="zh-CN" w:bidi="ar-SA"/>
        </w:rPr>
        <w:t>病历资料复印件；</w:t>
      </w:r>
    </w:p>
    <w:p w14:paraId="5BAF3988">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⑧　</w:t>
      </w:r>
      <w:r>
        <w:rPr>
          <w:rFonts w:hint="eastAsia" w:ascii="宋体" w:hAnsi="宋体" w:eastAsia="宋体" w:cs="宋体"/>
          <w:bCs/>
          <w:color w:val="auto"/>
          <w:kern w:val="2"/>
          <w:sz w:val="24"/>
          <w:szCs w:val="24"/>
          <w:highlight w:val="none"/>
          <w:lang w:val="en-US" w:eastAsia="zh-CN" w:bidi="ar-SA"/>
        </w:rPr>
        <w:t>患者伤残、死亡证明材料复印件（根据案件系患者死亡或伤残，分别对应提供），医鉴报告等；</w:t>
      </w:r>
    </w:p>
    <w:p w14:paraId="05050437">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⑨　</w:t>
      </w:r>
      <w:r>
        <w:rPr>
          <w:rFonts w:hint="eastAsia" w:ascii="宋体" w:hAnsi="宋体" w:eastAsia="宋体" w:cs="宋体"/>
          <w:bCs/>
          <w:color w:val="auto"/>
          <w:kern w:val="2"/>
          <w:sz w:val="24"/>
          <w:szCs w:val="24"/>
          <w:highlight w:val="none"/>
          <w:lang w:val="en-US" w:eastAsia="zh-CN" w:bidi="ar-SA"/>
        </w:rPr>
        <w:t>医疗费用单据、其他费用单据等损失证明材料原件或复印件；</w:t>
      </w:r>
    </w:p>
    <w:p w14:paraId="10F8FBDB">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⑩　</w:t>
      </w:r>
      <w:r>
        <w:rPr>
          <w:rFonts w:hint="eastAsia" w:ascii="宋体" w:hAnsi="宋体" w:eastAsia="宋体" w:cs="宋体"/>
          <w:bCs/>
          <w:color w:val="auto"/>
          <w:kern w:val="2"/>
          <w:sz w:val="24"/>
          <w:szCs w:val="24"/>
          <w:highlight w:val="none"/>
          <w:lang w:val="en-US" w:eastAsia="zh-CN" w:bidi="ar-SA"/>
        </w:rPr>
        <w:t>调解协议书；仲裁裁决书/法院判决书/法院调解书/法院裁定书/行政介入处理意见（仲裁、诉讼等司法途径案件、行政介入处理案件必需）；</w:t>
      </w:r>
    </w:p>
    <w:p w14:paraId="6BCC1636">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⑪　</w:t>
      </w:r>
      <w:r>
        <w:rPr>
          <w:rFonts w:hint="eastAsia" w:ascii="宋体" w:hAnsi="宋体" w:eastAsia="宋体" w:cs="宋体"/>
          <w:bCs/>
          <w:color w:val="auto"/>
          <w:kern w:val="2"/>
          <w:sz w:val="24"/>
          <w:szCs w:val="24"/>
          <w:highlight w:val="none"/>
          <w:lang w:val="en-US" w:eastAsia="zh-CN" w:bidi="ar-SA"/>
        </w:rPr>
        <w:t>代理律师结案报告（仲裁、诉讼等司法途径案件必需）；</w:t>
      </w:r>
    </w:p>
    <w:p w14:paraId="1776AC6B">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⑫　</w:t>
      </w:r>
      <w:r>
        <w:rPr>
          <w:rFonts w:hint="eastAsia" w:ascii="宋体" w:hAnsi="宋体" w:eastAsia="宋体" w:cs="宋体"/>
          <w:bCs/>
          <w:color w:val="auto"/>
          <w:kern w:val="2"/>
          <w:sz w:val="24"/>
          <w:szCs w:val="24"/>
          <w:highlight w:val="none"/>
          <w:lang w:val="en-US" w:eastAsia="zh-CN" w:bidi="ar-SA"/>
        </w:rPr>
        <w:t>应诉通知书（法院或仲裁委出具，仲裁、诉讼等司法途径案件必需）；</w:t>
      </w:r>
    </w:p>
    <w:p w14:paraId="6B0FD357">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⑬　</w:t>
      </w:r>
      <w:r>
        <w:rPr>
          <w:rFonts w:hint="eastAsia" w:ascii="宋体" w:hAnsi="宋体" w:eastAsia="宋体" w:cs="宋体"/>
          <w:bCs/>
          <w:color w:val="auto"/>
          <w:kern w:val="2"/>
          <w:sz w:val="24"/>
          <w:szCs w:val="24"/>
          <w:highlight w:val="none"/>
          <w:lang w:val="en-US" w:eastAsia="zh-CN" w:bidi="ar-SA"/>
        </w:rPr>
        <w:t>民事起诉状或仲裁申请书（仲裁、诉讼等司法途径案件必需）；</w:t>
      </w:r>
    </w:p>
    <w:p w14:paraId="5FBAAC1C">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⑭　</w:t>
      </w:r>
      <w:r>
        <w:rPr>
          <w:rFonts w:hint="eastAsia" w:ascii="宋体" w:hAnsi="宋体" w:eastAsia="宋体" w:cs="宋体"/>
          <w:bCs/>
          <w:color w:val="auto"/>
          <w:kern w:val="2"/>
          <w:sz w:val="24"/>
          <w:szCs w:val="24"/>
          <w:highlight w:val="none"/>
          <w:lang w:val="en-US" w:eastAsia="zh-CN" w:bidi="ar-SA"/>
        </w:rPr>
        <w:t>医疗责任保险索赔申请书、确认书原件；</w:t>
      </w:r>
    </w:p>
    <w:p w14:paraId="3D575E2E">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⑮　</w:t>
      </w:r>
      <w:r>
        <w:rPr>
          <w:rFonts w:hint="eastAsia" w:ascii="宋体" w:hAnsi="宋体" w:eastAsia="宋体" w:cs="宋体"/>
          <w:bCs/>
          <w:color w:val="auto"/>
          <w:kern w:val="2"/>
          <w:sz w:val="24"/>
          <w:szCs w:val="24"/>
          <w:highlight w:val="none"/>
          <w:lang w:val="en-US" w:eastAsia="zh-CN" w:bidi="ar-SA"/>
        </w:rPr>
        <w:t>赔款证明或患者收款收据原件或复印件；</w:t>
      </w:r>
    </w:p>
    <w:p w14:paraId="47819CC1">
      <w:pPr>
        <w:keepNext w:val="0"/>
        <w:keepLines w:val="0"/>
        <w:pageBreakBefore w:val="0"/>
        <w:widowControl w:val="0"/>
        <w:numPr>
          <w:ilvl w:val="0"/>
          <w:numId w:val="0"/>
        </w:numPr>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lang w:val="en-US" w:eastAsia="zh-CN" w:bidi="ar-SA"/>
        </w:rPr>
        <w:t>⑯　</w:t>
      </w:r>
      <w:r>
        <w:rPr>
          <w:rFonts w:hint="eastAsia" w:ascii="宋体" w:hAnsi="宋体" w:eastAsia="宋体" w:cs="宋体"/>
          <w:bCs/>
          <w:color w:val="auto"/>
          <w:kern w:val="2"/>
          <w:sz w:val="24"/>
          <w:szCs w:val="24"/>
          <w:highlight w:val="none"/>
          <w:lang w:val="en-US" w:eastAsia="zh-CN" w:bidi="ar-SA"/>
        </w:rPr>
        <w:t>医方或患方银行账户信息。</w:t>
      </w:r>
    </w:p>
    <w:p w14:paraId="1BC892CF">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（2）自行和解案件：</w:t>
      </w:r>
    </w:p>
    <w:p w14:paraId="6D5906C7">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①</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医疗机构执业许可证、组织机构代码证（或事业单位法人证书）复印件；</w:t>
      </w:r>
    </w:p>
    <w:p w14:paraId="166D5ED9">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②</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当事医务人员执业证复印件；</w:t>
      </w:r>
    </w:p>
    <w:p w14:paraId="2FE5A4F5">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③</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医院授权委托书原件及代理人身份证复印件；</w:t>
      </w:r>
    </w:p>
    <w:p w14:paraId="171FA6D3">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④</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法定代表人身份证明书；</w:t>
      </w:r>
    </w:p>
    <w:p w14:paraId="733B3F3E">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⑤</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病历资料复印件；</w:t>
      </w:r>
    </w:p>
    <w:p w14:paraId="32319AD4">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⑥</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患者伤残、死亡证明材料复印件（根据案件系患者死亡或伤残，分别对应提供）；</w:t>
      </w:r>
    </w:p>
    <w:p w14:paraId="71F3D3D5">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⑦</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color w:val="auto"/>
          <w:kern w:val="2"/>
          <w:sz w:val="24"/>
          <w:szCs w:val="24"/>
          <w:highlight w:val="none"/>
          <w:lang w:val="en-US" w:eastAsia="zh-CN" w:bidi="ar-SA"/>
        </w:rPr>
        <w:t>医方免除医疗费的损失证明（医疗费用单据、其他费用单据等损失证明材料原件）；</w:t>
      </w:r>
    </w:p>
    <w:p w14:paraId="4EF5605F">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⑧</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医患自行和解协议书；</w:t>
      </w:r>
    </w:p>
    <w:p w14:paraId="228AEB08">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⑨</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医疗责任保险索赔申请书、确认书原件；</w:t>
      </w:r>
    </w:p>
    <w:p w14:paraId="3442BAD0">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⑩</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赔款证明或患者收款收据原件或复印件；</w:t>
      </w:r>
    </w:p>
    <w:p w14:paraId="3FC1F9C4">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⑪</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医方或患方银行账户信息；</w:t>
      </w:r>
    </w:p>
    <w:p w14:paraId="6646066E">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⑫</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患者身份证明材料复印件；</w:t>
      </w:r>
    </w:p>
    <w:p w14:paraId="6C0ED764">
      <w:pPr>
        <w:keepNext w:val="0"/>
        <w:keepLines w:val="0"/>
        <w:pageBreakBefore w:val="0"/>
        <w:widowControl w:val="0"/>
        <w:kinsoku/>
        <w:wordWrap w:val="0"/>
        <w:overflowPunct/>
        <w:topLinePunct w:val="0"/>
        <w:autoSpaceDE/>
        <w:autoSpaceDN/>
        <w:bidi w:val="0"/>
        <w:adjustRightInd w:val="0"/>
        <w:snapToGrid/>
        <w:spacing w:line="360" w:lineRule="auto"/>
        <w:ind w:left="0" w:leftChars="0" w:firstLine="480" w:firstLineChars="200"/>
        <w:jc w:val="both"/>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⑬</w:t>
      </w:r>
      <w:r>
        <w:rPr>
          <w:rFonts w:hint="eastAsia" w:ascii="宋体" w:hAnsi="宋体" w:eastAsia="宋体" w:cs="宋体"/>
          <w:bCs/>
          <w:color w:val="auto"/>
          <w:kern w:val="2"/>
          <w:sz w:val="24"/>
          <w:szCs w:val="24"/>
          <w:lang w:val="en-US" w:eastAsia="zh-CN" w:bidi="ar-SA"/>
        </w:rPr>
        <w:t>　</w:t>
      </w:r>
      <w:r>
        <w:rPr>
          <w:rFonts w:hint="eastAsia" w:ascii="宋体" w:hAnsi="宋体" w:eastAsia="宋体" w:cs="宋体"/>
          <w:bCs/>
          <w:color w:val="auto"/>
          <w:kern w:val="2"/>
          <w:sz w:val="24"/>
          <w:szCs w:val="24"/>
          <w:highlight w:val="none"/>
          <w:lang w:val="en-US" w:eastAsia="zh-CN" w:bidi="ar-SA"/>
        </w:rPr>
        <w:t>患方相关权利人身份证明及关系证明复印件、授权委托书及委托代理人身份证复印件（死亡案件必需。如医院无法提供，由医院承诺不得再次追究保险责任。）</w:t>
      </w:r>
    </w:p>
    <w:p w14:paraId="4664E34F">
      <w:pPr>
        <w:keepNext w:val="0"/>
        <w:keepLines w:val="0"/>
        <w:pageBreakBefore/>
        <w:widowControl w:val="0"/>
        <w:kinsoku/>
        <w:wordWrap w:val="0"/>
        <w:overflowPunct/>
        <w:topLinePunct w:val="0"/>
        <w:autoSpaceDE/>
        <w:autoSpaceDN/>
        <w:bidi w:val="0"/>
        <w:adjustRightInd w:val="0"/>
        <w:snapToGrid/>
        <w:spacing w:line="480" w:lineRule="auto"/>
        <w:jc w:val="center"/>
        <w:textAlignment w:val="auto"/>
        <w:outlineLvl w:val="1"/>
        <w:rPr>
          <w:rFonts w:hint="eastAsia" w:ascii="宋体" w:hAnsi="宋体" w:eastAsia="宋体" w:cs="宋体"/>
          <w:b/>
          <w:bCs/>
          <w:color w:val="auto"/>
          <w:sz w:val="32"/>
          <w:szCs w:val="32"/>
          <w:highlight w:val="none"/>
          <w:lang w:val="en-US" w:eastAsia="zh-CN"/>
        </w:rPr>
      </w:pPr>
      <w:bookmarkStart w:id="62" w:name="_Toc26640"/>
      <w:r>
        <w:rPr>
          <w:rFonts w:hint="eastAsia" w:ascii="宋体" w:hAnsi="宋体" w:eastAsia="宋体" w:cs="宋体"/>
          <w:b/>
          <w:bCs/>
          <w:color w:val="auto"/>
          <w:sz w:val="32"/>
          <w:szCs w:val="32"/>
          <w:highlight w:val="none"/>
          <w:lang w:val="en-US" w:eastAsia="zh-CN"/>
        </w:rPr>
        <w:t>附件二</w:t>
      </w:r>
      <w:bookmarkEnd w:id="61"/>
      <w:bookmarkStart w:id="63" w:name="_Toc324192728"/>
      <w:r>
        <w:rPr>
          <w:rFonts w:hint="eastAsia" w:ascii="宋体" w:hAnsi="宋体" w:eastAsia="宋体" w:cs="宋体"/>
          <w:b/>
          <w:bCs/>
          <w:color w:val="auto"/>
          <w:sz w:val="32"/>
          <w:szCs w:val="32"/>
          <w:highlight w:val="none"/>
          <w:lang w:val="en-US" w:eastAsia="zh-CN"/>
        </w:rPr>
        <w:t>：广东省医疗责任保险赔偿处理办法（暂行）</w:t>
      </w:r>
      <w:bookmarkEnd w:id="62"/>
      <w:bookmarkEnd w:id="63"/>
    </w:p>
    <w:p w14:paraId="7501D339">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24"/>
          <w:szCs w:val="24"/>
        </w:rPr>
      </w:pPr>
      <w:bookmarkStart w:id="64" w:name="_Toc5167"/>
    </w:p>
    <w:p w14:paraId="5DE39D2E">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sz w:val="24"/>
          <w:szCs w:val="24"/>
        </w:rPr>
      </w:pPr>
      <w:r>
        <w:rPr>
          <w:rFonts w:hint="eastAsia" w:ascii="宋体" w:hAnsi="宋体" w:cs="宋体"/>
          <w:b/>
          <w:bCs/>
          <w:sz w:val="24"/>
          <w:szCs w:val="24"/>
        </w:rPr>
        <w:t>第一章  总则</w:t>
      </w:r>
    </w:p>
    <w:p w14:paraId="44C3D8FA">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sz w:val="24"/>
          <w:szCs w:val="24"/>
        </w:rPr>
      </w:pPr>
      <w:r>
        <w:rPr>
          <w:rFonts w:hint="eastAsia" w:ascii="宋体" w:hAnsi="宋体" w:eastAsia="宋体" w:cs="宋体"/>
          <w:b/>
          <w:bCs/>
          <w:kern w:val="2"/>
          <w:sz w:val="24"/>
          <w:szCs w:val="24"/>
          <w:lang w:val="en-US" w:eastAsia="zh-CN" w:bidi="ar-SA"/>
        </w:rPr>
        <w:t>第一条　</w:t>
      </w:r>
      <w:r>
        <w:rPr>
          <w:rFonts w:hint="eastAsia" w:ascii="宋体" w:hAnsi="宋体" w:cs="宋体"/>
          <w:sz w:val="24"/>
          <w:szCs w:val="24"/>
        </w:rPr>
        <w:t>为及时、准确处理医疗责任保险赔偿，保护医疗机构和患者的合法利益，促进广东省医疗责任保险持续发展，确保调赔结合机制长效稳定运行，特制订本办法。</w:t>
      </w:r>
    </w:p>
    <w:p w14:paraId="5E957C42">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sz w:val="24"/>
          <w:szCs w:val="24"/>
        </w:rPr>
      </w:pPr>
      <w:r>
        <w:rPr>
          <w:rFonts w:hint="eastAsia" w:ascii="宋体" w:hAnsi="宋体" w:eastAsia="宋体" w:cs="宋体"/>
          <w:b/>
          <w:bCs/>
          <w:kern w:val="2"/>
          <w:sz w:val="24"/>
          <w:szCs w:val="24"/>
          <w:lang w:val="en-US" w:eastAsia="zh-CN" w:bidi="ar-SA"/>
        </w:rPr>
        <w:t>第二条　</w:t>
      </w:r>
      <w:r>
        <w:rPr>
          <w:rFonts w:hint="eastAsia" w:ascii="宋体" w:hAnsi="宋体" w:cs="宋体"/>
          <w:sz w:val="24"/>
          <w:szCs w:val="24"/>
        </w:rPr>
        <w:t>广东省医疗责任保险项目涉及的所有赔偿处理事项，按照本办法规定执行。</w:t>
      </w:r>
    </w:p>
    <w:p w14:paraId="708920D1">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sz w:val="24"/>
          <w:szCs w:val="24"/>
        </w:rPr>
      </w:pPr>
      <w:r>
        <w:rPr>
          <w:rFonts w:hint="eastAsia" w:ascii="宋体" w:hAnsi="宋体" w:eastAsia="宋体" w:cs="宋体"/>
          <w:b/>
          <w:bCs/>
          <w:kern w:val="2"/>
          <w:sz w:val="24"/>
          <w:szCs w:val="24"/>
          <w:lang w:val="en-US" w:eastAsia="zh-CN" w:bidi="ar-SA"/>
        </w:rPr>
        <w:t>第三条　</w:t>
      </w:r>
      <w:r>
        <w:rPr>
          <w:rFonts w:hint="eastAsia" w:ascii="宋体" w:hAnsi="宋体" w:cs="宋体"/>
          <w:sz w:val="24"/>
          <w:szCs w:val="24"/>
        </w:rPr>
        <w:t>医疗纠纷人民调解委员会（以下简称“医调委”）是经司法行政部门同意设立的行业性、专业性医患纠纷第三方人民调解组织，负责对参保医疗机构发生的医疗纠纷案件进行调查、调解</w:t>
      </w:r>
      <w:r>
        <w:rPr>
          <w:rFonts w:hint="eastAsia" w:ascii="宋体" w:hAnsi="宋体" w:cs="宋体"/>
          <w:b/>
          <w:bCs/>
          <w:sz w:val="24"/>
          <w:szCs w:val="24"/>
        </w:rPr>
        <w:t>。</w:t>
      </w:r>
    </w:p>
    <w:p w14:paraId="3FA8F907">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sz w:val="24"/>
          <w:szCs w:val="24"/>
        </w:rPr>
      </w:pPr>
      <w:r>
        <w:rPr>
          <w:rFonts w:hint="eastAsia" w:ascii="宋体" w:hAnsi="宋体" w:eastAsia="宋体" w:cs="宋体"/>
          <w:b/>
          <w:bCs/>
          <w:kern w:val="2"/>
          <w:sz w:val="24"/>
          <w:szCs w:val="24"/>
          <w:lang w:val="en-US" w:eastAsia="zh-CN" w:bidi="ar-SA"/>
        </w:rPr>
        <w:t>第四条　</w:t>
      </w:r>
      <w:r>
        <w:rPr>
          <w:rFonts w:hint="eastAsia" w:ascii="宋体" w:hAnsi="宋体" w:cs="宋体"/>
          <w:sz w:val="24"/>
          <w:szCs w:val="24"/>
        </w:rPr>
        <w:t>广东和谐医患纠纷人民调解委员会（以下简称“广东和谐医调委”）是依托于广东省人民调解员协会，并经广东省司法厅同意设立的行业性、专业性的医患纠纷第三方人民调解组织</w:t>
      </w:r>
      <w:r>
        <w:rPr>
          <w:rFonts w:hint="eastAsia" w:ascii="宋体" w:hAnsi="宋体" w:cs="宋体"/>
          <w:b/>
          <w:bCs/>
          <w:sz w:val="24"/>
          <w:szCs w:val="24"/>
        </w:rPr>
        <w:t>。</w:t>
      </w:r>
    </w:p>
    <w:p w14:paraId="3882A6CD">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“广东和谐医调委”负责邀请相关学科专家从专业角度对参保医疗机构发生的医疗纠纷案件进行性质认定、责任认定和赔偿损失认定，相关专家的认定意见作为保险公司的理赔依据。</w:t>
      </w:r>
    </w:p>
    <w:p w14:paraId="51CF0E7D">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sz w:val="24"/>
          <w:szCs w:val="24"/>
        </w:rPr>
      </w:pPr>
      <w:r>
        <w:rPr>
          <w:rFonts w:hint="eastAsia" w:ascii="宋体" w:hAnsi="宋体" w:eastAsia="宋体" w:cs="宋体"/>
          <w:b/>
          <w:bCs/>
          <w:kern w:val="2"/>
          <w:sz w:val="24"/>
          <w:szCs w:val="24"/>
          <w:lang w:val="en-US" w:eastAsia="zh-CN" w:bidi="ar-SA"/>
        </w:rPr>
        <w:t>第五条　</w:t>
      </w:r>
      <w:r>
        <w:rPr>
          <w:rFonts w:hint="eastAsia" w:ascii="宋体" w:hAnsi="宋体" w:cs="宋体"/>
          <w:sz w:val="24"/>
          <w:szCs w:val="24"/>
        </w:rPr>
        <w:t>江泰保险经纪股份有限公司（以下简称“江泰保险经纪公司”)负责协助参保医疗机构对发生的医疗纠纷案件进行后续索赔，确保保险公司依法依约、及时赔付。</w:t>
      </w:r>
    </w:p>
    <w:p w14:paraId="2FA9B2ED">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第六条</w:t>
      </w:r>
      <w:r>
        <w:rPr>
          <w:rFonts w:hint="eastAsia" w:ascii="宋体" w:hAnsi="宋体" w:eastAsia="宋体" w:cs="宋体"/>
          <w:kern w:val="2"/>
          <w:sz w:val="24"/>
          <w:szCs w:val="24"/>
          <w:lang w:val="en-US" w:eastAsia="zh-CN" w:bidi="ar-SA"/>
        </w:rPr>
        <w:t>　</w:t>
      </w:r>
      <w:r>
        <w:rPr>
          <w:rFonts w:hint="eastAsia" w:ascii="宋体" w:hAnsi="宋体" w:cs="宋体"/>
          <w:sz w:val="24"/>
          <w:szCs w:val="24"/>
        </w:rPr>
        <w:t>参保医疗机构发生医疗纠纷案件后，应向“医调委”提出调解申请，“医调委”根据医疗纠纷案件双方当事人的申请进行调解处理。</w:t>
      </w:r>
      <w:r>
        <w:rPr>
          <w:rFonts w:hint="eastAsia" w:ascii="宋体" w:hAnsi="宋体" w:cs="宋体"/>
          <w:b/>
          <w:bCs/>
          <w:sz w:val="24"/>
          <w:szCs w:val="24"/>
        </w:rPr>
        <w:t xml:space="preserve">  </w:t>
      </w:r>
    </w:p>
    <w:p w14:paraId="5778355B">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第七条</w:t>
      </w:r>
      <w:r>
        <w:rPr>
          <w:rFonts w:hint="eastAsia" w:ascii="宋体" w:hAnsi="宋体" w:eastAsia="宋体" w:cs="宋体"/>
          <w:kern w:val="2"/>
          <w:sz w:val="24"/>
          <w:szCs w:val="24"/>
          <w:lang w:val="en-US" w:eastAsia="zh-CN" w:bidi="ar-SA"/>
        </w:rPr>
        <w:t>　</w:t>
      </w:r>
      <w:r>
        <w:rPr>
          <w:rFonts w:hint="eastAsia" w:ascii="宋体" w:hAnsi="宋体" w:cs="宋体"/>
          <w:sz w:val="24"/>
          <w:szCs w:val="24"/>
        </w:rPr>
        <w:t>医疗机构、保险公司对涉及医疗纠纷案件的性质认定、责任认定和赔偿损失认定等有重大异议，可以提请医疗责任保险赔案合议会（以下简称“合议会”）进行审议。</w:t>
      </w:r>
    </w:p>
    <w:p w14:paraId="55F910A6">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第八条</w:t>
      </w:r>
      <w:r>
        <w:rPr>
          <w:rFonts w:hint="eastAsia" w:ascii="宋体" w:hAnsi="宋体" w:eastAsia="宋体" w:cs="宋体"/>
          <w:kern w:val="2"/>
          <w:sz w:val="24"/>
          <w:szCs w:val="24"/>
          <w:lang w:val="en-US" w:eastAsia="zh-CN" w:bidi="ar-SA"/>
        </w:rPr>
        <w:t>　</w:t>
      </w:r>
      <w:r>
        <w:rPr>
          <w:rFonts w:hint="eastAsia" w:ascii="宋体" w:hAnsi="宋体" w:cs="宋体"/>
          <w:sz w:val="24"/>
          <w:szCs w:val="24"/>
        </w:rPr>
        <w:t>经“医调委”调解仍无法达成协议的医疗纠纷案件，调解员应引导医疗纠纷案件双方当事人依法申请医疗损害鉴定、医疗事故技术鉴定或通过司法诉讼、仲裁以及行政调解等合法方式解决纠纷。对于调解不成功，再通过法律规定程序和方式处理的医疗纠纷案件，保险公司依照相关法律规定并按照保险合同约定理赔。</w:t>
      </w:r>
    </w:p>
    <w:p w14:paraId="301114CE">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第九条</w:t>
      </w:r>
      <w:r>
        <w:rPr>
          <w:rFonts w:hint="eastAsia" w:ascii="宋体" w:hAnsi="宋体" w:eastAsia="宋体" w:cs="宋体"/>
          <w:kern w:val="2"/>
          <w:sz w:val="24"/>
          <w:szCs w:val="24"/>
          <w:lang w:val="en-US" w:eastAsia="zh-CN" w:bidi="ar-SA"/>
        </w:rPr>
        <w:t>　</w:t>
      </w:r>
      <w:r>
        <w:rPr>
          <w:rFonts w:hint="eastAsia" w:ascii="宋体" w:hAnsi="宋体" w:cs="宋体"/>
          <w:sz w:val="24"/>
          <w:szCs w:val="24"/>
        </w:rPr>
        <w:t>江泰保险经纪公司在协助参保医疗机构进行保险索赔时，应当遵循公正、公平的原则，依据事实和相关法律、法规、保险合同规定进行处理。</w:t>
      </w:r>
    </w:p>
    <w:p w14:paraId="6F3DF337">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24"/>
          <w:szCs w:val="24"/>
        </w:rPr>
      </w:pPr>
    </w:p>
    <w:p w14:paraId="377653A7">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24"/>
          <w:szCs w:val="24"/>
        </w:rPr>
      </w:pPr>
      <w:r>
        <w:rPr>
          <w:rFonts w:hint="eastAsia" w:ascii="宋体" w:hAnsi="宋体" w:cs="宋体"/>
          <w:b/>
          <w:bCs/>
          <w:sz w:val="24"/>
          <w:szCs w:val="24"/>
        </w:rPr>
        <w:t>第二章  案件赔偿处理程序</w:t>
      </w:r>
    </w:p>
    <w:p w14:paraId="11454C12">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第十条</w:t>
      </w:r>
      <w:r>
        <w:rPr>
          <w:rFonts w:hint="eastAsia" w:ascii="宋体" w:hAnsi="宋体" w:eastAsia="宋体" w:cs="宋体"/>
          <w:kern w:val="2"/>
          <w:sz w:val="24"/>
          <w:szCs w:val="24"/>
          <w:lang w:val="en-US" w:eastAsia="zh-CN" w:bidi="ar-SA"/>
        </w:rPr>
        <w:t>　</w:t>
      </w:r>
      <w:r>
        <w:rPr>
          <w:rFonts w:hint="eastAsia" w:ascii="宋体" w:hAnsi="宋体" w:cs="宋体"/>
          <w:sz w:val="24"/>
          <w:szCs w:val="24"/>
        </w:rPr>
        <w:t>医疗纠纷案件发生时，参保医疗机构应及时通知“广东和谐医调委”和书面报案至广东医疗责任保险项目统一报案邮箱或在广东和谐医调委医疗纠纷信息系统报案。</w:t>
      </w:r>
    </w:p>
    <w:p w14:paraId="5E80E22A">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第十一条</w:t>
      </w:r>
      <w:r>
        <w:rPr>
          <w:rFonts w:hint="eastAsia" w:ascii="宋体" w:hAnsi="宋体" w:eastAsia="宋体" w:cs="宋体"/>
          <w:kern w:val="2"/>
          <w:sz w:val="24"/>
          <w:szCs w:val="24"/>
          <w:lang w:val="en-US" w:eastAsia="zh-CN" w:bidi="ar-SA"/>
        </w:rPr>
        <w:t>　</w:t>
      </w:r>
      <w:r>
        <w:rPr>
          <w:rFonts w:hint="eastAsia" w:ascii="宋体" w:hAnsi="宋体" w:cs="宋体"/>
          <w:sz w:val="24"/>
          <w:szCs w:val="24"/>
        </w:rPr>
        <w:t>依据保险合同约定，对事实清楚，法律责任明确，参保医疗机构自主处理的赔偿金额（不含法律费用）在人民币1万元以下（含1万元）的医疗纠纷案件，参保医疗机构与患者达成和解协议、支付赔款的5个工作日之内，应将医患双方当事人主体材料、纠纷经过书面材料、和解赔偿（补偿）协议、赔款（补偿）支付证明等案件材料一并提交给“广东和谐医调委”。</w:t>
      </w:r>
    </w:p>
    <w:p w14:paraId="6AD9B2AA">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trike/>
          <w:sz w:val="24"/>
          <w:szCs w:val="24"/>
        </w:rPr>
      </w:pPr>
      <w:r>
        <w:rPr>
          <w:rFonts w:hint="eastAsia" w:ascii="宋体" w:hAnsi="宋体" w:eastAsia="宋体" w:cs="宋体"/>
          <w:b/>
          <w:bCs/>
          <w:strike w:val="0"/>
          <w:kern w:val="2"/>
          <w:sz w:val="24"/>
          <w:szCs w:val="24"/>
          <w:lang w:val="en-US" w:eastAsia="zh-CN" w:bidi="ar-SA"/>
        </w:rPr>
        <w:t>第十二条</w:t>
      </w:r>
      <w:r>
        <w:rPr>
          <w:rFonts w:hint="eastAsia" w:ascii="宋体" w:hAnsi="宋体" w:eastAsia="宋体" w:cs="宋体"/>
          <w:strike w:val="0"/>
          <w:kern w:val="2"/>
          <w:sz w:val="24"/>
          <w:szCs w:val="24"/>
          <w:lang w:val="en-US" w:eastAsia="zh-CN" w:bidi="ar-SA"/>
        </w:rPr>
        <w:t>　</w:t>
      </w:r>
      <w:r>
        <w:rPr>
          <w:rFonts w:hint="eastAsia" w:ascii="宋体" w:hAnsi="宋体" w:cs="宋体"/>
          <w:sz w:val="24"/>
          <w:szCs w:val="24"/>
        </w:rPr>
        <w:t>对于保险赔付金额</w:t>
      </w:r>
      <w:r>
        <w:rPr>
          <w:rFonts w:hint="eastAsia" w:ascii="宋体" w:hAnsi="宋体" w:cs="宋体"/>
          <w:bCs/>
          <w:sz w:val="24"/>
          <w:szCs w:val="24"/>
        </w:rPr>
        <w:t>（不含法律费用）</w:t>
      </w:r>
      <w:r>
        <w:rPr>
          <w:rFonts w:hint="eastAsia" w:ascii="宋体" w:hAnsi="宋体" w:cs="宋体"/>
          <w:sz w:val="24"/>
          <w:szCs w:val="24"/>
        </w:rPr>
        <w:t>在20万元以内（含20万元）的医疗纠纷案件，由“广东和谐医调委”自主主导医疗纠纷案件双方当事人达成调解协议；</w:t>
      </w:r>
    </w:p>
    <w:p w14:paraId="40BC6E28">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第十三条</w:t>
      </w:r>
      <w:r>
        <w:rPr>
          <w:rFonts w:hint="eastAsia" w:ascii="宋体" w:hAnsi="宋体" w:eastAsia="宋体" w:cs="宋体"/>
          <w:kern w:val="2"/>
          <w:sz w:val="24"/>
          <w:szCs w:val="24"/>
          <w:lang w:val="en-US" w:eastAsia="zh-CN" w:bidi="ar-SA"/>
        </w:rPr>
        <w:t>　</w:t>
      </w:r>
      <w:r>
        <w:rPr>
          <w:rFonts w:hint="eastAsia" w:ascii="宋体" w:hAnsi="宋体" w:cs="宋体"/>
          <w:sz w:val="24"/>
          <w:szCs w:val="24"/>
        </w:rPr>
        <w:t>对保险赔付金额</w:t>
      </w:r>
      <w:r>
        <w:rPr>
          <w:rFonts w:hint="eastAsia" w:ascii="宋体" w:hAnsi="宋体" w:cs="宋体"/>
          <w:bCs/>
          <w:sz w:val="24"/>
          <w:szCs w:val="24"/>
        </w:rPr>
        <w:t>（不含法律费用）</w:t>
      </w:r>
      <w:r>
        <w:rPr>
          <w:rFonts w:hint="eastAsia" w:ascii="宋体" w:hAnsi="宋体" w:cs="宋体"/>
          <w:sz w:val="24"/>
          <w:szCs w:val="24"/>
        </w:rPr>
        <w:t>在20万元以上的医疗纠纷案件，“广东和谐医调委”应召开医疗责任保险赔案专家咨询听证会（以下简称“听证会”），根据相应的法律法规对医疗纠纷案件进行性质认定、责任认定和赔偿损失认定。</w:t>
      </w:r>
    </w:p>
    <w:p w14:paraId="1E6421B9">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保险公司应根据听证会的认定结论和医疗纠纷案件双方当事人签署的调解协议做出理赔决定并支付保险赔偿金，或依医疗机构申请，将赔偿款项直接支付给患方。</w:t>
      </w:r>
    </w:p>
    <w:p w14:paraId="7AAE39D3">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第十四条</w:t>
      </w:r>
      <w:r>
        <w:rPr>
          <w:rFonts w:hint="eastAsia" w:ascii="宋体" w:hAnsi="宋体" w:eastAsia="宋体" w:cs="宋体"/>
          <w:kern w:val="2"/>
          <w:sz w:val="24"/>
          <w:szCs w:val="24"/>
          <w:lang w:val="en-US" w:eastAsia="zh-CN" w:bidi="ar-SA"/>
        </w:rPr>
        <w:t>　</w:t>
      </w:r>
      <w:r>
        <w:rPr>
          <w:rFonts w:hint="eastAsia" w:ascii="宋体" w:hAnsi="宋体" w:cs="宋体"/>
          <w:sz w:val="24"/>
          <w:szCs w:val="24"/>
        </w:rPr>
        <w:t>听证会由人民调解员主持，相关学科专家出席，保险公司代表列席。参加听证会的专家从“广东和谐医调委”建立的专家库中选取。</w:t>
      </w:r>
    </w:p>
    <w:p w14:paraId="39EFA9F4">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第十五条</w:t>
      </w:r>
      <w:r>
        <w:rPr>
          <w:rFonts w:hint="eastAsia" w:ascii="宋体" w:hAnsi="宋体" w:eastAsia="宋体" w:cs="宋体"/>
          <w:kern w:val="2"/>
          <w:sz w:val="24"/>
          <w:szCs w:val="24"/>
          <w:lang w:val="en-US" w:eastAsia="zh-CN" w:bidi="ar-SA"/>
        </w:rPr>
        <w:t>　</w:t>
      </w:r>
      <w:r>
        <w:rPr>
          <w:rFonts w:hint="eastAsia" w:ascii="宋体" w:hAnsi="宋体" w:cs="宋体"/>
          <w:sz w:val="24"/>
          <w:szCs w:val="24"/>
        </w:rPr>
        <w:t>听证会原则上设不少于3个表决席位，具体以案件情况为准。提请听证会审议的医疗纠纷案件由医学专家、法律专家共同负责医疗纠纷案件的性质认定和责任认定；由法律专家负责赔偿损失认定。</w:t>
      </w:r>
    </w:p>
    <w:p w14:paraId="76B5CA87">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听证会工作结束后，由参加听证的成员应签字确认听证结果，该结果将作为人民调解员的调解依据。</w:t>
      </w:r>
    </w:p>
    <w:p w14:paraId="5F4346A8">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第十六条</w:t>
      </w:r>
      <w:r>
        <w:rPr>
          <w:rFonts w:hint="eastAsia" w:ascii="宋体" w:hAnsi="宋体" w:eastAsia="宋体" w:cs="宋体"/>
          <w:kern w:val="2"/>
          <w:sz w:val="24"/>
          <w:szCs w:val="24"/>
          <w:lang w:val="en-US" w:eastAsia="zh-CN" w:bidi="ar-SA"/>
        </w:rPr>
        <w:t>　</w:t>
      </w:r>
      <w:r>
        <w:rPr>
          <w:rFonts w:hint="eastAsia" w:ascii="宋体" w:hAnsi="宋体" w:cs="宋体"/>
          <w:sz w:val="24"/>
          <w:szCs w:val="24"/>
        </w:rPr>
        <w:t>拟参会的听证会成员如果与医疗纠纷案件双方当事人存在利害关系，应当回避。</w:t>
      </w:r>
    </w:p>
    <w:p w14:paraId="1348E989">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第十七条</w:t>
      </w:r>
      <w:r>
        <w:rPr>
          <w:rFonts w:hint="eastAsia" w:ascii="宋体" w:hAnsi="宋体" w:eastAsia="宋体" w:cs="宋体"/>
          <w:kern w:val="2"/>
          <w:sz w:val="24"/>
          <w:szCs w:val="24"/>
          <w:lang w:val="en-US" w:eastAsia="zh-CN" w:bidi="ar-SA"/>
        </w:rPr>
        <w:t>　</w:t>
      </w:r>
      <w:r>
        <w:rPr>
          <w:rFonts w:hint="eastAsia" w:ascii="宋体" w:hAnsi="宋体" w:cs="宋体"/>
          <w:sz w:val="24"/>
          <w:szCs w:val="24"/>
        </w:rPr>
        <w:t>负责医疗纠纷案件调解的人民调解员应当在签署调解协议后自案件全部材料收集完毕之日起3个工作日内将案件相关材料和调解协议书提交江泰保险经纪公司。</w:t>
      </w:r>
    </w:p>
    <w:p w14:paraId="1B324F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江泰保险经纪公司对案件资料进行审核，对材料完备的案件于2个工作日内提交保险公司。对于案件材料不齐待补，或存在理赔争议的案件，江泰保险经纪公司应在案件材料补齐后，或理赔争议消除后的2个工作日内将全部材料提交保险公司。</w:t>
      </w:r>
    </w:p>
    <w:p w14:paraId="5BFD17FD">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第十八条</w:t>
      </w:r>
      <w:r>
        <w:rPr>
          <w:rFonts w:hint="eastAsia" w:ascii="宋体" w:hAnsi="宋体" w:eastAsia="宋体" w:cs="宋体"/>
          <w:kern w:val="2"/>
          <w:sz w:val="24"/>
          <w:szCs w:val="24"/>
          <w:lang w:val="en-US" w:eastAsia="zh-CN" w:bidi="ar-SA"/>
        </w:rPr>
        <w:t>　</w:t>
      </w:r>
      <w:r>
        <w:rPr>
          <w:rFonts w:hint="eastAsia" w:ascii="宋体" w:hAnsi="宋体" w:cs="宋体"/>
          <w:sz w:val="24"/>
          <w:szCs w:val="24"/>
        </w:rPr>
        <w:t>保险公司在接到调解协议书副本和案件相关材料后按保险合同约定的时效向参保医疗机构赔偿，或依医疗机构申请，将赔偿款项直接支付给患方。</w:t>
      </w:r>
    </w:p>
    <w:p w14:paraId="020CD255">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24"/>
          <w:szCs w:val="24"/>
        </w:rPr>
      </w:pPr>
      <w:r>
        <w:rPr>
          <w:rFonts w:hint="eastAsia" w:ascii="宋体" w:hAnsi="宋体" w:cs="宋体"/>
          <w:b/>
          <w:bCs/>
          <w:sz w:val="24"/>
          <w:szCs w:val="24"/>
        </w:rPr>
        <w:t>其它处理程序</w:t>
      </w:r>
    </w:p>
    <w:p w14:paraId="6C033285">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第十九条</w:t>
      </w:r>
      <w:r>
        <w:rPr>
          <w:rFonts w:hint="eastAsia" w:ascii="宋体" w:hAnsi="宋体" w:eastAsia="宋体" w:cs="宋体"/>
          <w:kern w:val="2"/>
          <w:sz w:val="24"/>
          <w:szCs w:val="24"/>
          <w:lang w:val="en-US" w:eastAsia="zh-CN" w:bidi="ar-SA"/>
        </w:rPr>
        <w:t>　</w:t>
      </w:r>
      <w:r>
        <w:rPr>
          <w:rFonts w:hint="eastAsia" w:ascii="宋体" w:hAnsi="宋体" w:cs="宋体"/>
          <w:sz w:val="24"/>
          <w:szCs w:val="24"/>
        </w:rPr>
        <w:t>医疗纠纷案件双方当事人通过行政调解、仲裁或诉讼的案件，保险公司依法按照保险合同约定进行赔偿。</w:t>
      </w:r>
    </w:p>
    <w:p w14:paraId="07093955">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第二十条</w:t>
      </w:r>
      <w:r>
        <w:rPr>
          <w:rFonts w:hint="eastAsia" w:ascii="宋体" w:hAnsi="宋体" w:eastAsia="宋体" w:cs="宋体"/>
          <w:kern w:val="2"/>
          <w:sz w:val="24"/>
          <w:szCs w:val="24"/>
          <w:lang w:val="en-US" w:eastAsia="zh-CN" w:bidi="ar-SA"/>
        </w:rPr>
        <w:t>　</w:t>
      </w:r>
      <w:r>
        <w:rPr>
          <w:rFonts w:hint="eastAsia" w:ascii="宋体" w:hAnsi="宋体" w:cs="宋体"/>
          <w:sz w:val="24"/>
          <w:szCs w:val="24"/>
        </w:rPr>
        <w:t>参保医疗机构依据生效的行政调解书、仲裁裁决书、法院裁定书、法院判决书赔偿患者后，将赔付证明连同有关证明材料提交“广东和谐医调委”，“广东和谐医调委”经调查核实后转江泰保险经纪公司提交保险公司，经保险公司审核属实且符合广东医疗责任保险责任范围的，保险公司在收到所有材料后按照保险服务承诺时效向医疗机构支付赔款，或依医疗机构申请，将赔偿款项直接支付给患方。</w:t>
      </w:r>
    </w:p>
    <w:p w14:paraId="3D6151C0">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对于依据行政调解书、仲裁庭或法院出具的和（调）解书所确定的赔偿，保险公司有异议的，可以要求“广东和谐医调委”组织专家分析或要求委托鉴定机构定责，保险公司根据专家分析意见或鉴定机构结论并在收到所有材料后按保险合同约定的时效向医疗机构支付赔款，或依医疗机构申请，将赔偿款项直接支付给患方。</w:t>
      </w:r>
    </w:p>
    <w:p w14:paraId="721CD6F7">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第二十一条</w:t>
      </w:r>
      <w:r>
        <w:rPr>
          <w:rFonts w:hint="eastAsia" w:ascii="宋体" w:hAnsi="宋体" w:eastAsia="宋体" w:cs="宋体"/>
          <w:kern w:val="2"/>
          <w:sz w:val="24"/>
          <w:szCs w:val="24"/>
          <w:lang w:val="en-US" w:eastAsia="zh-CN" w:bidi="ar-SA"/>
        </w:rPr>
        <w:t>　</w:t>
      </w:r>
      <w:r>
        <w:rPr>
          <w:rFonts w:hint="eastAsia" w:ascii="宋体" w:hAnsi="宋体" w:cs="宋体"/>
          <w:sz w:val="24"/>
          <w:szCs w:val="24"/>
        </w:rPr>
        <w:t>医疗诉讼/仲裁案件由江泰保险经纪公司推荐的律师或者应医疗机构推荐的律师代理应诉，代理律师应取得医疗机构授权委托书；在医疗机构、保险公司共同确定代理律师后，并由律师、医疗机构、保险公司签定委托代理合同。律师代理费按照本合同约定的律师费收费标准执行</w:t>
      </w:r>
      <w:r>
        <w:rPr>
          <w:rFonts w:hint="eastAsia" w:ascii="宋体" w:hAnsi="宋体" w:cs="宋体"/>
          <w:bCs/>
          <w:sz w:val="24"/>
          <w:szCs w:val="24"/>
        </w:rPr>
        <w:t>，律师代理费由保险公司按规定支付。</w:t>
      </w:r>
    </w:p>
    <w:p w14:paraId="3A4C5886">
      <w:pPr>
        <w:keepNext w:val="0"/>
        <w:keepLines w:val="0"/>
        <w:pageBreakBefore w:val="0"/>
        <w:widowControl w:val="0"/>
        <w:numPr>
          <w:ilvl w:val="2"/>
          <w:numId w:val="0"/>
        </w:numPr>
        <w:shd w:val="clear" w:color="auto" w:fill="FFFFFF"/>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第二十二条</w:t>
      </w:r>
      <w:r>
        <w:rPr>
          <w:rFonts w:hint="eastAsia" w:ascii="宋体" w:hAnsi="宋体" w:eastAsia="宋体" w:cs="宋体"/>
          <w:kern w:val="2"/>
          <w:sz w:val="24"/>
          <w:szCs w:val="24"/>
          <w:lang w:val="en-US" w:eastAsia="zh-CN" w:bidi="ar-SA"/>
        </w:rPr>
        <w:t>　</w:t>
      </w:r>
      <w:r>
        <w:rPr>
          <w:rFonts w:hint="eastAsia" w:ascii="宋体" w:hAnsi="宋体" w:cs="宋体"/>
          <w:b/>
          <w:bCs/>
          <w:sz w:val="24"/>
          <w:szCs w:val="24"/>
        </w:rPr>
        <w:t>“</w:t>
      </w:r>
      <w:r>
        <w:rPr>
          <w:rFonts w:hint="eastAsia" w:ascii="宋体" w:hAnsi="宋体" w:cs="宋体"/>
          <w:sz w:val="24"/>
          <w:szCs w:val="24"/>
        </w:rPr>
        <w:t>广东和谐医调委”应积极与各地政府、司法等部门组建成立的人民调解组织或第三方调解援助机构密切协作，做好参保医疗机构的医疗损害赔偿处理工作。</w:t>
      </w:r>
    </w:p>
    <w:p w14:paraId="5456DE6F">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24"/>
          <w:szCs w:val="24"/>
        </w:rPr>
      </w:pPr>
    </w:p>
    <w:p w14:paraId="5DE404FC">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24"/>
          <w:szCs w:val="24"/>
        </w:rPr>
      </w:pPr>
      <w:r>
        <w:rPr>
          <w:rFonts w:hint="eastAsia" w:ascii="宋体" w:hAnsi="宋体" w:cs="宋体"/>
          <w:b/>
          <w:bCs/>
          <w:sz w:val="24"/>
          <w:szCs w:val="24"/>
        </w:rPr>
        <w:t>第三章 合议会程序</w:t>
      </w:r>
    </w:p>
    <w:p w14:paraId="171E5E18">
      <w:pPr>
        <w:keepNext w:val="0"/>
        <w:keepLines w:val="0"/>
        <w:pageBreakBefore w:val="0"/>
        <w:widowControl w:val="0"/>
        <w:numPr>
          <w:ilvl w:val="2"/>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第二十三条</w:t>
      </w:r>
      <w:r>
        <w:rPr>
          <w:rFonts w:hint="eastAsia" w:ascii="宋体" w:hAnsi="宋体" w:eastAsia="宋体" w:cs="宋体"/>
          <w:kern w:val="2"/>
          <w:sz w:val="24"/>
          <w:szCs w:val="24"/>
          <w:lang w:val="en-US" w:eastAsia="zh-CN" w:bidi="ar-SA"/>
        </w:rPr>
        <w:t>　</w:t>
      </w:r>
      <w:r>
        <w:rPr>
          <w:rFonts w:hint="eastAsia" w:ascii="宋体" w:hAnsi="宋体" w:cs="宋体"/>
          <w:sz w:val="24"/>
          <w:szCs w:val="24"/>
        </w:rPr>
        <w:t>医疗机构、保险公司对涉及医疗纠纷案件的性质认定、责任认定和赔偿损失认定等有重大异议，可以提请医疗责任保险赔案合议会（以下简称“合议会”）进行审议或申请司法鉴定。保险公司应依据合议决定或司法鉴定结论做出理赔决定。</w:t>
      </w:r>
    </w:p>
    <w:p w14:paraId="7DF07A07">
      <w:pPr>
        <w:keepNext w:val="0"/>
        <w:keepLines w:val="0"/>
        <w:pageBreakBefore w:val="0"/>
        <w:widowControl w:val="0"/>
        <w:numPr>
          <w:ilvl w:val="2"/>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Cs/>
          <w:sz w:val="24"/>
          <w:szCs w:val="24"/>
        </w:rPr>
      </w:pPr>
      <w:r>
        <w:rPr>
          <w:rFonts w:hint="eastAsia" w:ascii="宋体" w:hAnsi="宋体" w:eastAsia="宋体" w:cs="宋体"/>
          <w:b/>
          <w:bCs/>
          <w:kern w:val="2"/>
          <w:sz w:val="24"/>
          <w:szCs w:val="24"/>
          <w:lang w:val="en-US" w:eastAsia="zh-CN" w:bidi="ar-SA"/>
        </w:rPr>
        <w:t>第二十四条</w:t>
      </w:r>
      <w:r>
        <w:rPr>
          <w:rFonts w:hint="eastAsia" w:ascii="宋体" w:hAnsi="宋体" w:eastAsia="宋体" w:cs="宋体"/>
          <w:bCs/>
          <w:kern w:val="2"/>
          <w:sz w:val="24"/>
          <w:szCs w:val="24"/>
          <w:lang w:val="en-US" w:eastAsia="zh-CN" w:bidi="ar-SA"/>
        </w:rPr>
        <w:t>　</w:t>
      </w:r>
      <w:r>
        <w:rPr>
          <w:rFonts w:hint="eastAsia" w:ascii="宋体" w:hAnsi="宋体" w:cs="宋体"/>
          <w:sz w:val="24"/>
          <w:szCs w:val="24"/>
        </w:rPr>
        <w:t>合议会由“广东和谐医调委”组织召开。会议成员由保险公司代表及其聘请的医学及法律专家、广东和谐医调委代表、医疗机构代表、广东和谐医调委邀请的医学及法律专家组成。在事实清楚、责任明确的基础上，充分协商做出会议决定，并由参会人员签字确认。合议决定将作为人民调解员的调解依据。</w:t>
      </w:r>
    </w:p>
    <w:p w14:paraId="06D1068C">
      <w:pPr>
        <w:keepNext w:val="0"/>
        <w:keepLines w:val="0"/>
        <w:pageBreakBefore w:val="0"/>
        <w:widowControl w:val="0"/>
        <w:numPr>
          <w:ilvl w:val="2"/>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第二十五条</w:t>
      </w:r>
      <w:r>
        <w:rPr>
          <w:rFonts w:hint="eastAsia" w:ascii="宋体" w:hAnsi="宋体" w:eastAsia="宋体" w:cs="宋体"/>
          <w:kern w:val="2"/>
          <w:sz w:val="24"/>
          <w:szCs w:val="24"/>
          <w:lang w:val="en-US" w:eastAsia="zh-CN" w:bidi="ar-SA"/>
        </w:rPr>
        <w:t>　</w:t>
      </w:r>
      <w:r>
        <w:rPr>
          <w:rFonts w:hint="eastAsia" w:ascii="宋体" w:hAnsi="宋体" w:cs="宋体"/>
          <w:sz w:val="24"/>
          <w:szCs w:val="24"/>
        </w:rPr>
        <w:t>医疗</w:t>
      </w:r>
      <w:r>
        <w:rPr>
          <w:rFonts w:hint="eastAsia" w:ascii="宋体" w:hAnsi="宋体" w:cs="宋体"/>
          <w:bCs/>
          <w:sz w:val="24"/>
          <w:szCs w:val="24"/>
        </w:rPr>
        <w:t>机构、保险公司不接受 “合议会” 就保险理赔作出的决定，任一方可通过司法诉讼或仲裁途径处理保险理赔争议，保险公司按照司法诉讼或仲裁结果进行赔付。</w:t>
      </w:r>
    </w:p>
    <w:p w14:paraId="130DEC5D">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24"/>
          <w:szCs w:val="24"/>
        </w:rPr>
      </w:pPr>
      <w:r>
        <w:rPr>
          <w:rFonts w:hint="eastAsia" w:ascii="宋体" w:hAnsi="宋体" w:cs="宋体"/>
          <w:b/>
          <w:bCs/>
          <w:sz w:val="24"/>
          <w:szCs w:val="24"/>
        </w:rPr>
        <w:t>第四章  附则</w:t>
      </w:r>
    </w:p>
    <w:p w14:paraId="61D23FB5">
      <w:pPr>
        <w:keepNext w:val="0"/>
        <w:keepLines w:val="0"/>
        <w:pageBreakBefore w:val="0"/>
        <w:widowControl w:val="0"/>
        <w:numPr>
          <w:ilvl w:val="2"/>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第二十六条</w:t>
      </w:r>
      <w:r>
        <w:rPr>
          <w:rFonts w:hint="eastAsia" w:ascii="宋体" w:hAnsi="宋体" w:eastAsia="宋体" w:cs="宋体"/>
          <w:kern w:val="2"/>
          <w:sz w:val="24"/>
          <w:szCs w:val="24"/>
          <w:lang w:val="en-US" w:eastAsia="zh-CN" w:bidi="ar-SA"/>
        </w:rPr>
        <w:t>　</w:t>
      </w:r>
      <w:r>
        <w:rPr>
          <w:rFonts w:hint="eastAsia" w:ascii="宋体" w:hAnsi="宋体" w:cs="宋体"/>
          <w:sz w:val="24"/>
          <w:szCs w:val="24"/>
        </w:rPr>
        <w:t>参与医疗责任保险赔案处理的各方应当严格遵守本办法规定并遵照执行，如有违反，应当及时纠正，拒不纠正的视为构成对广东省医疗责任保险项目的违约行为。</w:t>
      </w:r>
    </w:p>
    <w:p w14:paraId="064F1C79">
      <w:pPr>
        <w:keepNext w:val="0"/>
        <w:keepLines w:val="0"/>
        <w:pageBreakBefore w:val="0"/>
        <w:widowControl w:val="0"/>
        <w:numPr>
          <w:ilvl w:val="2"/>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rPr>
      </w:pPr>
      <w:r>
        <w:rPr>
          <w:rFonts w:hint="eastAsia" w:ascii="宋体" w:hAnsi="宋体" w:eastAsia="宋体" w:cs="宋体"/>
          <w:b/>
          <w:bCs/>
          <w:kern w:val="2"/>
          <w:sz w:val="24"/>
          <w:szCs w:val="24"/>
          <w:lang w:val="en-US" w:eastAsia="zh-CN" w:bidi="ar-SA"/>
        </w:rPr>
        <w:t>第二十七条</w:t>
      </w:r>
      <w:r>
        <w:rPr>
          <w:rFonts w:hint="eastAsia" w:ascii="宋体" w:hAnsi="宋体" w:eastAsia="宋体" w:cs="宋体"/>
          <w:kern w:val="2"/>
          <w:sz w:val="24"/>
          <w:szCs w:val="24"/>
          <w:lang w:val="en-US" w:eastAsia="zh-CN" w:bidi="ar-SA"/>
        </w:rPr>
        <w:t>　</w:t>
      </w:r>
      <w:r>
        <w:rPr>
          <w:rFonts w:hint="eastAsia" w:ascii="宋体" w:hAnsi="宋体" w:cs="宋体"/>
          <w:sz w:val="24"/>
          <w:szCs w:val="24"/>
        </w:rPr>
        <w:t>本办法涉及的各方对医患双方负有保密义务。未经医患双方同意不得泄露患者隐私。</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60"/>
      <w:bookmarkEnd w:id="64"/>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06B73">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文本框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B31F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70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80lssAgAAW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HvzSWywCAABZBAAADgAAAAAAAAABACAAAAAfAQAAZHJzL2Uyb0RvYy54bWxQSwUGAAAAAAYA&#10;BgBZAQAAvQUAAAAA&#10;">
              <v:fill on="f" focussize="0,0"/>
              <v:stroke on="f" weight="0.5pt"/>
              <v:imagedata o:title=""/>
              <o:lock v:ext="edit" aspectratio="f"/>
              <v:textbox inset="0mm,0mm,0mm,0mm" style="mso-fit-shape-to-text:t;">
                <w:txbxContent>
                  <w:p w14:paraId="3EBB31F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70</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887025"/>
    <w:multiLevelType w:val="multilevel"/>
    <w:tmpl w:val="73887025"/>
    <w:lvl w:ilvl="0" w:tentative="0">
      <w:start w:val="1"/>
      <w:numFmt w:val="decimal"/>
      <w:pStyle w:val="57"/>
      <w:suff w:val="nothing"/>
      <w:lvlText w:val="%1."/>
      <w:lvlJc w:val="left"/>
      <w:pPr>
        <w:ind w:left="284" w:firstLine="0"/>
      </w:pPr>
      <w:rPr>
        <w:rFonts w:hint="eastAsia" w:ascii="宋体" w:hAnsi="宋体" w:eastAsia="宋体"/>
        <w:b w:val="0"/>
        <w:i w:val="0"/>
        <w:caps w:val="0"/>
        <w:strike w:val="0"/>
        <w:dstrike w:val="0"/>
        <w:vanish w:val="0"/>
        <w:spacing w:val="0"/>
        <w:position w:val="0"/>
        <w:sz w:val="24"/>
        <w:szCs w:val="24"/>
        <w:vertAlign w:val="baseline"/>
      </w:rPr>
    </w:lvl>
    <w:lvl w:ilvl="1" w:tentative="0">
      <w:start w:val="1"/>
      <w:numFmt w:val="decimal"/>
      <w:suff w:val="nothing"/>
      <w:lvlText w:val="%1.%2"/>
      <w:lvlJc w:val="left"/>
      <w:pPr>
        <w:ind w:left="4840" w:hanging="3836"/>
      </w:pPr>
      <w:rPr>
        <w:rFonts w:hint="eastAsia" w:cs="Times New Roman"/>
        <w:b w:val="0"/>
        <w:bCs w:val="0"/>
        <w:i w:val="0"/>
        <w:iCs w:val="0"/>
        <w:caps w:val="0"/>
        <w:smallCaps w:val="0"/>
        <w:strike w:val="0"/>
        <w:dstrike w:val="0"/>
        <w:vanish w:val="0"/>
        <w:spacing w:val="0"/>
        <w:position w:val="0"/>
        <w:sz w:val="24"/>
        <w:szCs w:val="24"/>
        <w:u w:val="none"/>
        <w:vertAlign w:val="baseline"/>
      </w:rPr>
    </w:lvl>
    <w:lvl w:ilvl="2" w:tentative="0">
      <w:start w:val="1"/>
      <w:numFmt w:val="decimal"/>
      <w:suff w:val="nothing"/>
      <w:lvlText w:val="%3）"/>
      <w:lvlJc w:val="left"/>
      <w:pPr>
        <w:ind w:left="994" w:hanging="170"/>
      </w:pPr>
      <w:rPr>
        <w:b w:val="0"/>
        <w:i w:val="0"/>
        <w:strike w:val="0"/>
        <w:color w:val="000000"/>
      </w:rPr>
    </w:lvl>
    <w:lvl w:ilvl="3" w:tentative="0">
      <w:start w:val="1"/>
      <w:numFmt w:val="decimal"/>
      <w:suff w:val="nothing"/>
      <w:lvlText w:val="%1.%2.%3.%4"/>
      <w:lvlJc w:val="left"/>
      <w:pPr>
        <w:ind w:left="388" w:hanging="227"/>
      </w:pPr>
      <w:rPr>
        <w:rFonts w:hint="eastAsia"/>
        <w:b w:val="0"/>
        <w:i w:val="0"/>
      </w:rPr>
    </w:lvl>
    <w:lvl w:ilvl="4" w:tentative="0">
      <w:start w:val="1"/>
      <w:numFmt w:val="decimal"/>
      <w:suff w:val="nothing"/>
      <w:lvlText w:val="%1.%2.%3.%4.%5"/>
      <w:lvlJc w:val="left"/>
      <w:pPr>
        <w:ind w:left="501" w:hanging="340"/>
      </w:pPr>
      <w:rPr>
        <w:rFonts w:hint="eastAsia" w:ascii="宋体" w:eastAsia="宋体"/>
        <w:b w:val="0"/>
        <w:i w:val="0"/>
        <w: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824"/>
        </w:tabs>
        <w:ind w:left="3518" w:hanging="1134"/>
      </w:pPr>
      <w:rPr>
        <w:rFonts w:hint="eastAsia"/>
      </w:rPr>
    </w:lvl>
    <w:lvl w:ilvl="6" w:tentative="0">
      <w:start w:val="1"/>
      <w:numFmt w:val="decimal"/>
      <w:lvlText w:val="%1.%2.%3.%4.%5.%6.%7"/>
      <w:lvlJc w:val="left"/>
      <w:pPr>
        <w:tabs>
          <w:tab w:val="left" w:pos="4609"/>
        </w:tabs>
        <w:ind w:left="4085" w:hanging="1276"/>
      </w:pPr>
      <w:rPr>
        <w:rFonts w:hint="eastAsia"/>
      </w:rPr>
    </w:lvl>
    <w:lvl w:ilvl="7" w:tentative="0">
      <w:start w:val="1"/>
      <w:numFmt w:val="decimal"/>
      <w:lvlText w:val="%1.%2.%3.%4.%5.%6.%7.%8"/>
      <w:lvlJc w:val="left"/>
      <w:pPr>
        <w:tabs>
          <w:tab w:val="left" w:pos="5394"/>
        </w:tabs>
        <w:ind w:left="4652" w:hanging="1418"/>
      </w:pPr>
      <w:rPr>
        <w:rFonts w:hint="eastAsia"/>
      </w:rPr>
    </w:lvl>
    <w:lvl w:ilvl="8" w:tentative="0">
      <w:start w:val="1"/>
      <w:numFmt w:val="decimal"/>
      <w:lvlText w:val="%1.%2.%3.%4.%5.%6.%7.%8.%9"/>
      <w:lvlJc w:val="left"/>
      <w:pPr>
        <w:tabs>
          <w:tab w:val="left" w:pos="5820"/>
        </w:tabs>
        <w:ind w:left="5360"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zYWE5MzU3OTZkNGMxYzAxOWE2NTE3NDU0Mjg4MmUifQ=="/>
  </w:docVars>
  <w:rsids>
    <w:rsidRoot w:val="00172A27"/>
    <w:rsid w:val="00092597"/>
    <w:rsid w:val="000E7B1F"/>
    <w:rsid w:val="00164DB5"/>
    <w:rsid w:val="00272332"/>
    <w:rsid w:val="00283890"/>
    <w:rsid w:val="002854FC"/>
    <w:rsid w:val="003307C5"/>
    <w:rsid w:val="00335D2F"/>
    <w:rsid w:val="004E0863"/>
    <w:rsid w:val="004E48A5"/>
    <w:rsid w:val="00564343"/>
    <w:rsid w:val="00571164"/>
    <w:rsid w:val="00574E1B"/>
    <w:rsid w:val="0057643A"/>
    <w:rsid w:val="005E291C"/>
    <w:rsid w:val="00650DBB"/>
    <w:rsid w:val="00651987"/>
    <w:rsid w:val="00702588"/>
    <w:rsid w:val="00703A77"/>
    <w:rsid w:val="00752409"/>
    <w:rsid w:val="008878F4"/>
    <w:rsid w:val="00897C44"/>
    <w:rsid w:val="008B50EA"/>
    <w:rsid w:val="008C0B9B"/>
    <w:rsid w:val="00935814"/>
    <w:rsid w:val="00AB35C0"/>
    <w:rsid w:val="00B269F2"/>
    <w:rsid w:val="00B66047"/>
    <w:rsid w:val="00BC5649"/>
    <w:rsid w:val="00D8680C"/>
    <w:rsid w:val="00DB356D"/>
    <w:rsid w:val="00DE216F"/>
    <w:rsid w:val="00E431D5"/>
    <w:rsid w:val="00F10EE3"/>
    <w:rsid w:val="00F32E6D"/>
    <w:rsid w:val="0107108A"/>
    <w:rsid w:val="010D7DD7"/>
    <w:rsid w:val="013A1A1A"/>
    <w:rsid w:val="015B6D94"/>
    <w:rsid w:val="0167398B"/>
    <w:rsid w:val="01690514"/>
    <w:rsid w:val="0189337F"/>
    <w:rsid w:val="01967DCC"/>
    <w:rsid w:val="01D37272"/>
    <w:rsid w:val="01E054EB"/>
    <w:rsid w:val="020E4338"/>
    <w:rsid w:val="021E624F"/>
    <w:rsid w:val="0224362A"/>
    <w:rsid w:val="022C24DE"/>
    <w:rsid w:val="025A03DA"/>
    <w:rsid w:val="028D315B"/>
    <w:rsid w:val="02916FA9"/>
    <w:rsid w:val="02CB619B"/>
    <w:rsid w:val="02FD5B8E"/>
    <w:rsid w:val="034B6AB1"/>
    <w:rsid w:val="039A7379"/>
    <w:rsid w:val="03BA7CCB"/>
    <w:rsid w:val="03C74BB5"/>
    <w:rsid w:val="04163446"/>
    <w:rsid w:val="043A35D9"/>
    <w:rsid w:val="04462670"/>
    <w:rsid w:val="045A1585"/>
    <w:rsid w:val="047D34C5"/>
    <w:rsid w:val="049251C3"/>
    <w:rsid w:val="04AC51BF"/>
    <w:rsid w:val="04B14F1D"/>
    <w:rsid w:val="04BA3565"/>
    <w:rsid w:val="04DA4474"/>
    <w:rsid w:val="04E43544"/>
    <w:rsid w:val="04F35B9A"/>
    <w:rsid w:val="0506170D"/>
    <w:rsid w:val="050E3C3D"/>
    <w:rsid w:val="052878D5"/>
    <w:rsid w:val="053C2B59"/>
    <w:rsid w:val="054E09BE"/>
    <w:rsid w:val="055C757F"/>
    <w:rsid w:val="05991C04"/>
    <w:rsid w:val="06253E14"/>
    <w:rsid w:val="06397C1C"/>
    <w:rsid w:val="0658548E"/>
    <w:rsid w:val="067717AB"/>
    <w:rsid w:val="06DF69CB"/>
    <w:rsid w:val="070C6257"/>
    <w:rsid w:val="077F7DAE"/>
    <w:rsid w:val="07BC60B3"/>
    <w:rsid w:val="07F92E63"/>
    <w:rsid w:val="080C2E03"/>
    <w:rsid w:val="09110F69"/>
    <w:rsid w:val="09181A0E"/>
    <w:rsid w:val="09255CBC"/>
    <w:rsid w:val="092D370C"/>
    <w:rsid w:val="09494D55"/>
    <w:rsid w:val="09736D12"/>
    <w:rsid w:val="09A071E8"/>
    <w:rsid w:val="09A60DC8"/>
    <w:rsid w:val="09B6184C"/>
    <w:rsid w:val="0A121ED1"/>
    <w:rsid w:val="0A187F18"/>
    <w:rsid w:val="0A252635"/>
    <w:rsid w:val="0A2F7010"/>
    <w:rsid w:val="0A375EC4"/>
    <w:rsid w:val="0A4459A3"/>
    <w:rsid w:val="0AA752CE"/>
    <w:rsid w:val="0ABB17B1"/>
    <w:rsid w:val="0ACB31DC"/>
    <w:rsid w:val="0B2331F6"/>
    <w:rsid w:val="0B2D32E7"/>
    <w:rsid w:val="0B3A252C"/>
    <w:rsid w:val="0B7F7B23"/>
    <w:rsid w:val="0B957E21"/>
    <w:rsid w:val="0C2D5916"/>
    <w:rsid w:val="0C4F1BEB"/>
    <w:rsid w:val="0CD143AE"/>
    <w:rsid w:val="0D0648F3"/>
    <w:rsid w:val="0D8D4779"/>
    <w:rsid w:val="0DB671EA"/>
    <w:rsid w:val="0DD57ECE"/>
    <w:rsid w:val="0DD62172"/>
    <w:rsid w:val="0DE14585"/>
    <w:rsid w:val="0DE87A08"/>
    <w:rsid w:val="0E176739"/>
    <w:rsid w:val="0E341099"/>
    <w:rsid w:val="0E49386A"/>
    <w:rsid w:val="0E4F566B"/>
    <w:rsid w:val="0E794C35"/>
    <w:rsid w:val="0EB16B1D"/>
    <w:rsid w:val="0ED968D0"/>
    <w:rsid w:val="0EDC3EB6"/>
    <w:rsid w:val="0EDC7AAC"/>
    <w:rsid w:val="0EE4486D"/>
    <w:rsid w:val="0F3776B5"/>
    <w:rsid w:val="0F423341"/>
    <w:rsid w:val="0F552DD8"/>
    <w:rsid w:val="0F5B7F5F"/>
    <w:rsid w:val="0F8E6586"/>
    <w:rsid w:val="0F9301BE"/>
    <w:rsid w:val="0F985657"/>
    <w:rsid w:val="0FD7617F"/>
    <w:rsid w:val="0FD77A64"/>
    <w:rsid w:val="0FEF171B"/>
    <w:rsid w:val="0FF24D67"/>
    <w:rsid w:val="10277CAB"/>
    <w:rsid w:val="10351CF7"/>
    <w:rsid w:val="10423A34"/>
    <w:rsid w:val="107D175F"/>
    <w:rsid w:val="108F0808"/>
    <w:rsid w:val="10A477A0"/>
    <w:rsid w:val="10BB7E49"/>
    <w:rsid w:val="10E215C7"/>
    <w:rsid w:val="11252648"/>
    <w:rsid w:val="11292A0B"/>
    <w:rsid w:val="114A472F"/>
    <w:rsid w:val="115B2DE0"/>
    <w:rsid w:val="115E47CD"/>
    <w:rsid w:val="117C1EDF"/>
    <w:rsid w:val="11A43EE4"/>
    <w:rsid w:val="11AC0F46"/>
    <w:rsid w:val="11BC713D"/>
    <w:rsid w:val="11DD5CB5"/>
    <w:rsid w:val="11F4036F"/>
    <w:rsid w:val="1205006A"/>
    <w:rsid w:val="121A7E6E"/>
    <w:rsid w:val="121E2084"/>
    <w:rsid w:val="1230425B"/>
    <w:rsid w:val="125E660F"/>
    <w:rsid w:val="12657440"/>
    <w:rsid w:val="128B58BB"/>
    <w:rsid w:val="129739A4"/>
    <w:rsid w:val="12A665F5"/>
    <w:rsid w:val="12BD5CF7"/>
    <w:rsid w:val="12C52FCD"/>
    <w:rsid w:val="12C7072D"/>
    <w:rsid w:val="12EF58FA"/>
    <w:rsid w:val="13495ABA"/>
    <w:rsid w:val="13983F19"/>
    <w:rsid w:val="13B32A60"/>
    <w:rsid w:val="13FE26F2"/>
    <w:rsid w:val="146855F8"/>
    <w:rsid w:val="147729F9"/>
    <w:rsid w:val="14D3507F"/>
    <w:rsid w:val="14DA4F34"/>
    <w:rsid w:val="150C68CB"/>
    <w:rsid w:val="151612A0"/>
    <w:rsid w:val="15282FD9"/>
    <w:rsid w:val="156159F7"/>
    <w:rsid w:val="15683FB3"/>
    <w:rsid w:val="157B605A"/>
    <w:rsid w:val="1592139F"/>
    <w:rsid w:val="159F205B"/>
    <w:rsid w:val="159F3197"/>
    <w:rsid w:val="15A156C1"/>
    <w:rsid w:val="15CC605B"/>
    <w:rsid w:val="15EE67EF"/>
    <w:rsid w:val="16421E79"/>
    <w:rsid w:val="165B773F"/>
    <w:rsid w:val="1674297A"/>
    <w:rsid w:val="167628FA"/>
    <w:rsid w:val="167F30CD"/>
    <w:rsid w:val="169C5A2D"/>
    <w:rsid w:val="16AE6169"/>
    <w:rsid w:val="16BB3295"/>
    <w:rsid w:val="16C80BBA"/>
    <w:rsid w:val="16D451C7"/>
    <w:rsid w:val="16F9056D"/>
    <w:rsid w:val="174D6D27"/>
    <w:rsid w:val="174E5809"/>
    <w:rsid w:val="175E2CE2"/>
    <w:rsid w:val="176273F5"/>
    <w:rsid w:val="176B1EC7"/>
    <w:rsid w:val="17A82501"/>
    <w:rsid w:val="17C70888"/>
    <w:rsid w:val="18057602"/>
    <w:rsid w:val="181B4DA0"/>
    <w:rsid w:val="181F6915"/>
    <w:rsid w:val="182757CA"/>
    <w:rsid w:val="188B34E8"/>
    <w:rsid w:val="189015C1"/>
    <w:rsid w:val="18A87324"/>
    <w:rsid w:val="18FC6139"/>
    <w:rsid w:val="18FF4051"/>
    <w:rsid w:val="19102702"/>
    <w:rsid w:val="194F7DC5"/>
    <w:rsid w:val="19526877"/>
    <w:rsid w:val="195E16BF"/>
    <w:rsid w:val="195F0C61"/>
    <w:rsid w:val="197131A1"/>
    <w:rsid w:val="19877DEE"/>
    <w:rsid w:val="19F54EEE"/>
    <w:rsid w:val="19F677A5"/>
    <w:rsid w:val="1A1960CE"/>
    <w:rsid w:val="1A1B135F"/>
    <w:rsid w:val="1A292634"/>
    <w:rsid w:val="1A340C8E"/>
    <w:rsid w:val="1A654388"/>
    <w:rsid w:val="1A703458"/>
    <w:rsid w:val="1A7F1CED"/>
    <w:rsid w:val="1A9F789A"/>
    <w:rsid w:val="1AA020AE"/>
    <w:rsid w:val="1ACA16A1"/>
    <w:rsid w:val="1AD965A7"/>
    <w:rsid w:val="1AF93F34"/>
    <w:rsid w:val="1B1F6D64"/>
    <w:rsid w:val="1B4D72F6"/>
    <w:rsid w:val="1B7900EB"/>
    <w:rsid w:val="1BE567A3"/>
    <w:rsid w:val="1BEE7B5B"/>
    <w:rsid w:val="1C1357D3"/>
    <w:rsid w:val="1C5465DE"/>
    <w:rsid w:val="1C5C2AF3"/>
    <w:rsid w:val="1C776484"/>
    <w:rsid w:val="1CA0064E"/>
    <w:rsid w:val="1CD4735A"/>
    <w:rsid w:val="1CE04199"/>
    <w:rsid w:val="1CE912A0"/>
    <w:rsid w:val="1CFD5135"/>
    <w:rsid w:val="1D1A7DA5"/>
    <w:rsid w:val="1D1F48B6"/>
    <w:rsid w:val="1D383FD6"/>
    <w:rsid w:val="1DAD27B7"/>
    <w:rsid w:val="1DB84526"/>
    <w:rsid w:val="1E1B192D"/>
    <w:rsid w:val="1E9516DF"/>
    <w:rsid w:val="1EA23DFC"/>
    <w:rsid w:val="1F0A5C24"/>
    <w:rsid w:val="1F4153C3"/>
    <w:rsid w:val="1F446C62"/>
    <w:rsid w:val="1F5B137D"/>
    <w:rsid w:val="1FBF15D5"/>
    <w:rsid w:val="1FEA0057"/>
    <w:rsid w:val="1FEF69E9"/>
    <w:rsid w:val="2040567B"/>
    <w:rsid w:val="209150AE"/>
    <w:rsid w:val="209A7F17"/>
    <w:rsid w:val="20BE47F2"/>
    <w:rsid w:val="20DB35F6"/>
    <w:rsid w:val="20DF18F7"/>
    <w:rsid w:val="210C37AF"/>
    <w:rsid w:val="211762A8"/>
    <w:rsid w:val="21244F9D"/>
    <w:rsid w:val="212C3511"/>
    <w:rsid w:val="21331BF5"/>
    <w:rsid w:val="21483893"/>
    <w:rsid w:val="2181133F"/>
    <w:rsid w:val="21AE2AB8"/>
    <w:rsid w:val="21E66F14"/>
    <w:rsid w:val="22277F7A"/>
    <w:rsid w:val="22477195"/>
    <w:rsid w:val="225519DA"/>
    <w:rsid w:val="2256466D"/>
    <w:rsid w:val="22571A27"/>
    <w:rsid w:val="225F4C8F"/>
    <w:rsid w:val="2261192E"/>
    <w:rsid w:val="22627E45"/>
    <w:rsid w:val="227104B1"/>
    <w:rsid w:val="22BA2C18"/>
    <w:rsid w:val="22DA2031"/>
    <w:rsid w:val="22F8048F"/>
    <w:rsid w:val="231177A3"/>
    <w:rsid w:val="23585D3D"/>
    <w:rsid w:val="235902A2"/>
    <w:rsid w:val="235C6C70"/>
    <w:rsid w:val="23681B5E"/>
    <w:rsid w:val="23D95F46"/>
    <w:rsid w:val="23DC390D"/>
    <w:rsid w:val="23EE1B05"/>
    <w:rsid w:val="242211CE"/>
    <w:rsid w:val="2427620D"/>
    <w:rsid w:val="243E02F3"/>
    <w:rsid w:val="249D2158"/>
    <w:rsid w:val="24D12D46"/>
    <w:rsid w:val="24DB4C20"/>
    <w:rsid w:val="24E862E1"/>
    <w:rsid w:val="251E7876"/>
    <w:rsid w:val="253D487F"/>
    <w:rsid w:val="25424EE3"/>
    <w:rsid w:val="254774AC"/>
    <w:rsid w:val="256376A5"/>
    <w:rsid w:val="25DD0E92"/>
    <w:rsid w:val="25E32535"/>
    <w:rsid w:val="260C05B6"/>
    <w:rsid w:val="26125699"/>
    <w:rsid w:val="261F3F85"/>
    <w:rsid w:val="26357304"/>
    <w:rsid w:val="263B7010"/>
    <w:rsid w:val="266B71CA"/>
    <w:rsid w:val="26BB5A5B"/>
    <w:rsid w:val="271909D4"/>
    <w:rsid w:val="272555CB"/>
    <w:rsid w:val="272E720A"/>
    <w:rsid w:val="273852FE"/>
    <w:rsid w:val="274504CE"/>
    <w:rsid w:val="27903A6B"/>
    <w:rsid w:val="27BD34F2"/>
    <w:rsid w:val="27DA2FBA"/>
    <w:rsid w:val="27E404E5"/>
    <w:rsid w:val="280C0B44"/>
    <w:rsid w:val="28235FAE"/>
    <w:rsid w:val="282C6F4A"/>
    <w:rsid w:val="284F5955"/>
    <w:rsid w:val="28773C04"/>
    <w:rsid w:val="28AA4453"/>
    <w:rsid w:val="28E93818"/>
    <w:rsid w:val="290C6A42"/>
    <w:rsid w:val="292F0982"/>
    <w:rsid w:val="29315B0B"/>
    <w:rsid w:val="29375EFC"/>
    <w:rsid w:val="295B1778"/>
    <w:rsid w:val="29752062"/>
    <w:rsid w:val="29B82726"/>
    <w:rsid w:val="29BD4126"/>
    <w:rsid w:val="29D97C89"/>
    <w:rsid w:val="29DA0504"/>
    <w:rsid w:val="2A4C4A62"/>
    <w:rsid w:val="2AA4277F"/>
    <w:rsid w:val="2ADC1EAD"/>
    <w:rsid w:val="2B27344B"/>
    <w:rsid w:val="2B2D3A60"/>
    <w:rsid w:val="2B514D73"/>
    <w:rsid w:val="2B9969B4"/>
    <w:rsid w:val="2BA2543C"/>
    <w:rsid w:val="2BB80A8D"/>
    <w:rsid w:val="2C3B13EC"/>
    <w:rsid w:val="2C736DD8"/>
    <w:rsid w:val="2C806965"/>
    <w:rsid w:val="2C994A91"/>
    <w:rsid w:val="2CC973D5"/>
    <w:rsid w:val="2CCD5CD7"/>
    <w:rsid w:val="2CF65A82"/>
    <w:rsid w:val="2D8F3AFF"/>
    <w:rsid w:val="2D9064CA"/>
    <w:rsid w:val="2DAF2092"/>
    <w:rsid w:val="2DEF248E"/>
    <w:rsid w:val="2E505CAA"/>
    <w:rsid w:val="2E8A6889"/>
    <w:rsid w:val="2ECC62DB"/>
    <w:rsid w:val="2EE34DEA"/>
    <w:rsid w:val="2EE74A67"/>
    <w:rsid w:val="2F0D71E4"/>
    <w:rsid w:val="2F201553"/>
    <w:rsid w:val="2F2143A8"/>
    <w:rsid w:val="2F326EA5"/>
    <w:rsid w:val="2F7E3ACA"/>
    <w:rsid w:val="2F8C1E45"/>
    <w:rsid w:val="2FAB3B96"/>
    <w:rsid w:val="2FB550AF"/>
    <w:rsid w:val="2FE06533"/>
    <w:rsid w:val="2FE52770"/>
    <w:rsid w:val="30004E27"/>
    <w:rsid w:val="30072BDC"/>
    <w:rsid w:val="302E3742"/>
    <w:rsid w:val="30316D8E"/>
    <w:rsid w:val="30420F9B"/>
    <w:rsid w:val="305667F5"/>
    <w:rsid w:val="30601421"/>
    <w:rsid w:val="3098554A"/>
    <w:rsid w:val="30CC389E"/>
    <w:rsid w:val="31105C9B"/>
    <w:rsid w:val="3119173B"/>
    <w:rsid w:val="31352131"/>
    <w:rsid w:val="315E02E1"/>
    <w:rsid w:val="31740B9D"/>
    <w:rsid w:val="317C15B5"/>
    <w:rsid w:val="31957131"/>
    <w:rsid w:val="31E8264B"/>
    <w:rsid w:val="326F1DF0"/>
    <w:rsid w:val="32C865AF"/>
    <w:rsid w:val="32DB1233"/>
    <w:rsid w:val="32DD116A"/>
    <w:rsid w:val="32DD2181"/>
    <w:rsid w:val="32E36077"/>
    <w:rsid w:val="32E52C8C"/>
    <w:rsid w:val="33051042"/>
    <w:rsid w:val="330700D5"/>
    <w:rsid w:val="334B1232"/>
    <w:rsid w:val="33686F6B"/>
    <w:rsid w:val="336C473C"/>
    <w:rsid w:val="336C5A75"/>
    <w:rsid w:val="33CC1DBE"/>
    <w:rsid w:val="33D21370"/>
    <w:rsid w:val="33DC5263"/>
    <w:rsid w:val="33E04D53"/>
    <w:rsid w:val="34056D24"/>
    <w:rsid w:val="34155E66"/>
    <w:rsid w:val="34192013"/>
    <w:rsid w:val="345136F0"/>
    <w:rsid w:val="34713BFD"/>
    <w:rsid w:val="34CE2DFE"/>
    <w:rsid w:val="34E33646"/>
    <w:rsid w:val="35170C48"/>
    <w:rsid w:val="35316762"/>
    <w:rsid w:val="35B50461"/>
    <w:rsid w:val="35E77C09"/>
    <w:rsid w:val="36287AC3"/>
    <w:rsid w:val="364E7893"/>
    <w:rsid w:val="366F7FF4"/>
    <w:rsid w:val="368857DA"/>
    <w:rsid w:val="36BB3856"/>
    <w:rsid w:val="36F3056E"/>
    <w:rsid w:val="36F86FF8"/>
    <w:rsid w:val="37016ED2"/>
    <w:rsid w:val="371A7C4A"/>
    <w:rsid w:val="37207A8A"/>
    <w:rsid w:val="37215076"/>
    <w:rsid w:val="37607F59"/>
    <w:rsid w:val="378E2D18"/>
    <w:rsid w:val="37DF58B2"/>
    <w:rsid w:val="382D7E24"/>
    <w:rsid w:val="385C6972"/>
    <w:rsid w:val="386D3EEB"/>
    <w:rsid w:val="389453F8"/>
    <w:rsid w:val="38A345A1"/>
    <w:rsid w:val="38B467AE"/>
    <w:rsid w:val="39010314"/>
    <w:rsid w:val="390F44E2"/>
    <w:rsid w:val="39365415"/>
    <w:rsid w:val="39396CB4"/>
    <w:rsid w:val="39453A02"/>
    <w:rsid w:val="394E6C03"/>
    <w:rsid w:val="395138A8"/>
    <w:rsid w:val="39910DD9"/>
    <w:rsid w:val="39C92BA7"/>
    <w:rsid w:val="39DC495E"/>
    <w:rsid w:val="39F33306"/>
    <w:rsid w:val="3A040244"/>
    <w:rsid w:val="3A166FA0"/>
    <w:rsid w:val="3A3E6454"/>
    <w:rsid w:val="3A4D3806"/>
    <w:rsid w:val="3A824DC7"/>
    <w:rsid w:val="3A9B7C26"/>
    <w:rsid w:val="3AB65D39"/>
    <w:rsid w:val="3AD969A0"/>
    <w:rsid w:val="3AEA3275"/>
    <w:rsid w:val="3AEC0732"/>
    <w:rsid w:val="3AFB4A3C"/>
    <w:rsid w:val="3B1A6344"/>
    <w:rsid w:val="3B206ADE"/>
    <w:rsid w:val="3B217A59"/>
    <w:rsid w:val="3B3E7245"/>
    <w:rsid w:val="3B6A1421"/>
    <w:rsid w:val="3B6B264B"/>
    <w:rsid w:val="3B7F30A4"/>
    <w:rsid w:val="3B8E32E7"/>
    <w:rsid w:val="3B90053D"/>
    <w:rsid w:val="3B914B85"/>
    <w:rsid w:val="3BAA5D8F"/>
    <w:rsid w:val="3BC211E2"/>
    <w:rsid w:val="3BCB236D"/>
    <w:rsid w:val="3C2F4ACA"/>
    <w:rsid w:val="3C3976F6"/>
    <w:rsid w:val="3C3A07D5"/>
    <w:rsid w:val="3C7249B6"/>
    <w:rsid w:val="3CF4361D"/>
    <w:rsid w:val="3D360130"/>
    <w:rsid w:val="3D54230E"/>
    <w:rsid w:val="3D605157"/>
    <w:rsid w:val="3DAC2343"/>
    <w:rsid w:val="3DDC1EFE"/>
    <w:rsid w:val="3DFA2EB5"/>
    <w:rsid w:val="3E104487"/>
    <w:rsid w:val="3E2B4840"/>
    <w:rsid w:val="3E2E0DB1"/>
    <w:rsid w:val="3E3D0FF4"/>
    <w:rsid w:val="3E594080"/>
    <w:rsid w:val="3E8F3986"/>
    <w:rsid w:val="3EB05890"/>
    <w:rsid w:val="3F073B01"/>
    <w:rsid w:val="3F416503"/>
    <w:rsid w:val="3F6C393F"/>
    <w:rsid w:val="3F760C61"/>
    <w:rsid w:val="3FA14F44"/>
    <w:rsid w:val="3FA303E0"/>
    <w:rsid w:val="40B70054"/>
    <w:rsid w:val="40BB6FBB"/>
    <w:rsid w:val="40E20415"/>
    <w:rsid w:val="4105404B"/>
    <w:rsid w:val="41143F20"/>
    <w:rsid w:val="412F731A"/>
    <w:rsid w:val="414E219E"/>
    <w:rsid w:val="41577535"/>
    <w:rsid w:val="418E2070"/>
    <w:rsid w:val="41A03D74"/>
    <w:rsid w:val="41B36E83"/>
    <w:rsid w:val="41BD4926"/>
    <w:rsid w:val="41D87F03"/>
    <w:rsid w:val="41D9142A"/>
    <w:rsid w:val="41E00614"/>
    <w:rsid w:val="42051E29"/>
    <w:rsid w:val="420E7D4A"/>
    <w:rsid w:val="421B71C5"/>
    <w:rsid w:val="421D3D58"/>
    <w:rsid w:val="422D4C80"/>
    <w:rsid w:val="423A7D24"/>
    <w:rsid w:val="42B15B20"/>
    <w:rsid w:val="42C57C5B"/>
    <w:rsid w:val="42F10B85"/>
    <w:rsid w:val="4309116E"/>
    <w:rsid w:val="430A1DED"/>
    <w:rsid w:val="430C3F52"/>
    <w:rsid w:val="436036B0"/>
    <w:rsid w:val="438E7720"/>
    <w:rsid w:val="4392593E"/>
    <w:rsid w:val="439E68BC"/>
    <w:rsid w:val="43B92544"/>
    <w:rsid w:val="44000AFA"/>
    <w:rsid w:val="442F052B"/>
    <w:rsid w:val="443D1D4E"/>
    <w:rsid w:val="444D4D06"/>
    <w:rsid w:val="445175A7"/>
    <w:rsid w:val="447B4624"/>
    <w:rsid w:val="44817E8C"/>
    <w:rsid w:val="44836BE5"/>
    <w:rsid w:val="4492209A"/>
    <w:rsid w:val="44A967C5"/>
    <w:rsid w:val="44B81331"/>
    <w:rsid w:val="44C23C08"/>
    <w:rsid w:val="44CB775F"/>
    <w:rsid w:val="44CE6E4A"/>
    <w:rsid w:val="44E328F5"/>
    <w:rsid w:val="45014B29"/>
    <w:rsid w:val="451513F6"/>
    <w:rsid w:val="4550785F"/>
    <w:rsid w:val="45726768"/>
    <w:rsid w:val="457C7CFA"/>
    <w:rsid w:val="458D2861"/>
    <w:rsid w:val="459736E0"/>
    <w:rsid w:val="45A24357"/>
    <w:rsid w:val="45C80E5D"/>
    <w:rsid w:val="45EB757F"/>
    <w:rsid w:val="46570397"/>
    <w:rsid w:val="465F41FD"/>
    <w:rsid w:val="467610D5"/>
    <w:rsid w:val="469B2BD2"/>
    <w:rsid w:val="46A755D7"/>
    <w:rsid w:val="46F5246C"/>
    <w:rsid w:val="47084895"/>
    <w:rsid w:val="47427D7A"/>
    <w:rsid w:val="476659F2"/>
    <w:rsid w:val="477D73AE"/>
    <w:rsid w:val="477E22F4"/>
    <w:rsid w:val="478A4254"/>
    <w:rsid w:val="47C50090"/>
    <w:rsid w:val="47DE7B5D"/>
    <w:rsid w:val="480826C2"/>
    <w:rsid w:val="486024AF"/>
    <w:rsid w:val="48BA1BBF"/>
    <w:rsid w:val="48FE0116"/>
    <w:rsid w:val="49042E3F"/>
    <w:rsid w:val="49227764"/>
    <w:rsid w:val="492B4235"/>
    <w:rsid w:val="49496C0E"/>
    <w:rsid w:val="49777AB0"/>
    <w:rsid w:val="49FC3B12"/>
    <w:rsid w:val="4A233794"/>
    <w:rsid w:val="4A584D4D"/>
    <w:rsid w:val="4A6C6EE9"/>
    <w:rsid w:val="4A9B5A20"/>
    <w:rsid w:val="4AA9052E"/>
    <w:rsid w:val="4AFF5FAF"/>
    <w:rsid w:val="4B15737E"/>
    <w:rsid w:val="4B264345"/>
    <w:rsid w:val="4B3B2ADC"/>
    <w:rsid w:val="4B5005B9"/>
    <w:rsid w:val="4B553763"/>
    <w:rsid w:val="4B6B0F4E"/>
    <w:rsid w:val="4BA17066"/>
    <w:rsid w:val="4BAB57EF"/>
    <w:rsid w:val="4BF02238"/>
    <w:rsid w:val="4C27522D"/>
    <w:rsid w:val="4C5C5AE9"/>
    <w:rsid w:val="4C93137D"/>
    <w:rsid w:val="4CA312F6"/>
    <w:rsid w:val="4CCF550D"/>
    <w:rsid w:val="4D070182"/>
    <w:rsid w:val="4D0E24D9"/>
    <w:rsid w:val="4D144D0B"/>
    <w:rsid w:val="4D9E0D05"/>
    <w:rsid w:val="4DAC5684"/>
    <w:rsid w:val="4DB56DF9"/>
    <w:rsid w:val="4E094A4F"/>
    <w:rsid w:val="4E402D05"/>
    <w:rsid w:val="4E4077E0"/>
    <w:rsid w:val="4E462334"/>
    <w:rsid w:val="4E676491"/>
    <w:rsid w:val="4EB75F8A"/>
    <w:rsid w:val="4EB8094F"/>
    <w:rsid w:val="4EDC335B"/>
    <w:rsid w:val="4EDD5164"/>
    <w:rsid w:val="4F0E67C1"/>
    <w:rsid w:val="4F622668"/>
    <w:rsid w:val="4F64324A"/>
    <w:rsid w:val="4F885408"/>
    <w:rsid w:val="501A2F43"/>
    <w:rsid w:val="5058707D"/>
    <w:rsid w:val="507507A1"/>
    <w:rsid w:val="508036EE"/>
    <w:rsid w:val="50950AEC"/>
    <w:rsid w:val="50CC6933"/>
    <w:rsid w:val="50EF43D0"/>
    <w:rsid w:val="51031540"/>
    <w:rsid w:val="5118442F"/>
    <w:rsid w:val="51200A2D"/>
    <w:rsid w:val="514B3CFC"/>
    <w:rsid w:val="51C25C48"/>
    <w:rsid w:val="51EE6435"/>
    <w:rsid w:val="522F25C7"/>
    <w:rsid w:val="52431E6F"/>
    <w:rsid w:val="526D37FE"/>
    <w:rsid w:val="52A35AA3"/>
    <w:rsid w:val="52B14033"/>
    <w:rsid w:val="52B30639"/>
    <w:rsid w:val="52D27B05"/>
    <w:rsid w:val="52D56541"/>
    <w:rsid w:val="52EB24D9"/>
    <w:rsid w:val="53424C8B"/>
    <w:rsid w:val="53437C72"/>
    <w:rsid w:val="53541FB1"/>
    <w:rsid w:val="53877FA0"/>
    <w:rsid w:val="539120AE"/>
    <w:rsid w:val="5398661A"/>
    <w:rsid w:val="53A61564"/>
    <w:rsid w:val="53DD2AB9"/>
    <w:rsid w:val="53E74E59"/>
    <w:rsid w:val="54163627"/>
    <w:rsid w:val="543F566E"/>
    <w:rsid w:val="5453102C"/>
    <w:rsid w:val="545A7AC5"/>
    <w:rsid w:val="547F3CBD"/>
    <w:rsid w:val="548F2152"/>
    <w:rsid w:val="54AA19D8"/>
    <w:rsid w:val="54B378F5"/>
    <w:rsid w:val="54BF5FBC"/>
    <w:rsid w:val="54E55252"/>
    <w:rsid w:val="5506695D"/>
    <w:rsid w:val="554051FA"/>
    <w:rsid w:val="55416207"/>
    <w:rsid w:val="55B30C6F"/>
    <w:rsid w:val="55FF18B1"/>
    <w:rsid w:val="563A79A5"/>
    <w:rsid w:val="56647A0A"/>
    <w:rsid w:val="56944D86"/>
    <w:rsid w:val="569C10DE"/>
    <w:rsid w:val="56C377A5"/>
    <w:rsid w:val="57041ABC"/>
    <w:rsid w:val="571D543F"/>
    <w:rsid w:val="576019C9"/>
    <w:rsid w:val="581218B5"/>
    <w:rsid w:val="583B7EFB"/>
    <w:rsid w:val="584722A5"/>
    <w:rsid w:val="58473C24"/>
    <w:rsid w:val="584C2108"/>
    <w:rsid w:val="585D60C3"/>
    <w:rsid w:val="585F111F"/>
    <w:rsid w:val="58C250A1"/>
    <w:rsid w:val="58D04AE7"/>
    <w:rsid w:val="592A2449"/>
    <w:rsid w:val="592E180D"/>
    <w:rsid w:val="595E6596"/>
    <w:rsid w:val="59863EFF"/>
    <w:rsid w:val="598858BC"/>
    <w:rsid w:val="5995347C"/>
    <w:rsid w:val="59AD2BAD"/>
    <w:rsid w:val="59EC082C"/>
    <w:rsid w:val="59F9006D"/>
    <w:rsid w:val="5A274BDA"/>
    <w:rsid w:val="5A554748"/>
    <w:rsid w:val="5A663955"/>
    <w:rsid w:val="5AB67BA7"/>
    <w:rsid w:val="5B251F74"/>
    <w:rsid w:val="5B2D3C98"/>
    <w:rsid w:val="5B323837"/>
    <w:rsid w:val="5B611EBC"/>
    <w:rsid w:val="5B846552"/>
    <w:rsid w:val="5BAA6A95"/>
    <w:rsid w:val="5C5A1C17"/>
    <w:rsid w:val="5C800E51"/>
    <w:rsid w:val="5C901178"/>
    <w:rsid w:val="5C9D1B76"/>
    <w:rsid w:val="5C9F1D17"/>
    <w:rsid w:val="5CC81443"/>
    <w:rsid w:val="5D186A9A"/>
    <w:rsid w:val="5DD60DF1"/>
    <w:rsid w:val="5E734892"/>
    <w:rsid w:val="5E7D29FE"/>
    <w:rsid w:val="5E8246C7"/>
    <w:rsid w:val="5E8A398A"/>
    <w:rsid w:val="5E8B1BDC"/>
    <w:rsid w:val="5E9B4AEE"/>
    <w:rsid w:val="5EAE58CA"/>
    <w:rsid w:val="5ECE7DD0"/>
    <w:rsid w:val="5EED712A"/>
    <w:rsid w:val="5F2E3272"/>
    <w:rsid w:val="5F441D8B"/>
    <w:rsid w:val="602028FB"/>
    <w:rsid w:val="60261490"/>
    <w:rsid w:val="603475D9"/>
    <w:rsid w:val="607E177B"/>
    <w:rsid w:val="608D4366"/>
    <w:rsid w:val="608F7035"/>
    <w:rsid w:val="60915396"/>
    <w:rsid w:val="6094289E"/>
    <w:rsid w:val="60C44823"/>
    <w:rsid w:val="60FE7A8E"/>
    <w:rsid w:val="61153FE6"/>
    <w:rsid w:val="61161505"/>
    <w:rsid w:val="6129035E"/>
    <w:rsid w:val="6175447D"/>
    <w:rsid w:val="619C6876"/>
    <w:rsid w:val="61DD38B8"/>
    <w:rsid w:val="61E73158"/>
    <w:rsid w:val="6205677B"/>
    <w:rsid w:val="621C2B4B"/>
    <w:rsid w:val="623E6F65"/>
    <w:rsid w:val="62610174"/>
    <w:rsid w:val="62AC0785"/>
    <w:rsid w:val="62AC3386"/>
    <w:rsid w:val="63340547"/>
    <w:rsid w:val="63AC67B2"/>
    <w:rsid w:val="63AE3C76"/>
    <w:rsid w:val="63C331EF"/>
    <w:rsid w:val="6401024A"/>
    <w:rsid w:val="64153CF6"/>
    <w:rsid w:val="64216B3E"/>
    <w:rsid w:val="64340620"/>
    <w:rsid w:val="645C442A"/>
    <w:rsid w:val="647A3F6A"/>
    <w:rsid w:val="6497295D"/>
    <w:rsid w:val="64B4350F"/>
    <w:rsid w:val="64D15E6F"/>
    <w:rsid w:val="64DF722A"/>
    <w:rsid w:val="64F94FD9"/>
    <w:rsid w:val="6535385A"/>
    <w:rsid w:val="653561AA"/>
    <w:rsid w:val="65763BE5"/>
    <w:rsid w:val="65766A16"/>
    <w:rsid w:val="65870C23"/>
    <w:rsid w:val="65A26342"/>
    <w:rsid w:val="65A401A8"/>
    <w:rsid w:val="65AB66C0"/>
    <w:rsid w:val="65AD68DC"/>
    <w:rsid w:val="65B20B63"/>
    <w:rsid w:val="65CE6852"/>
    <w:rsid w:val="65FB2875"/>
    <w:rsid w:val="66044A6E"/>
    <w:rsid w:val="66124991"/>
    <w:rsid w:val="661676E8"/>
    <w:rsid w:val="66811CCE"/>
    <w:rsid w:val="66B477F6"/>
    <w:rsid w:val="66B64A77"/>
    <w:rsid w:val="66F14577"/>
    <w:rsid w:val="6713793D"/>
    <w:rsid w:val="67393CF3"/>
    <w:rsid w:val="67762CFD"/>
    <w:rsid w:val="67934E36"/>
    <w:rsid w:val="67FC40E1"/>
    <w:rsid w:val="683C5CF5"/>
    <w:rsid w:val="68752FB5"/>
    <w:rsid w:val="687822BC"/>
    <w:rsid w:val="69125EC3"/>
    <w:rsid w:val="69196036"/>
    <w:rsid w:val="69265501"/>
    <w:rsid w:val="692C7B17"/>
    <w:rsid w:val="693C4BE9"/>
    <w:rsid w:val="69436E95"/>
    <w:rsid w:val="69B63885"/>
    <w:rsid w:val="69DB32EB"/>
    <w:rsid w:val="69FC498F"/>
    <w:rsid w:val="6A18009C"/>
    <w:rsid w:val="6A2F1733"/>
    <w:rsid w:val="6A333127"/>
    <w:rsid w:val="6A58493C"/>
    <w:rsid w:val="6A5D64C0"/>
    <w:rsid w:val="6A843C52"/>
    <w:rsid w:val="6A9430AB"/>
    <w:rsid w:val="6A9E0953"/>
    <w:rsid w:val="6AE02ACF"/>
    <w:rsid w:val="6AEC2909"/>
    <w:rsid w:val="6B4169A0"/>
    <w:rsid w:val="6B563571"/>
    <w:rsid w:val="6B9B2D32"/>
    <w:rsid w:val="6BB46868"/>
    <w:rsid w:val="6BBB4EB2"/>
    <w:rsid w:val="6BD04735"/>
    <w:rsid w:val="6BD3071E"/>
    <w:rsid w:val="6C296590"/>
    <w:rsid w:val="6C597CBB"/>
    <w:rsid w:val="6C5E4521"/>
    <w:rsid w:val="6C6E0447"/>
    <w:rsid w:val="6C7041BF"/>
    <w:rsid w:val="6C85386A"/>
    <w:rsid w:val="6D9A01AE"/>
    <w:rsid w:val="6DBD1686"/>
    <w:rsid w:val="6DEE7FEB"/>
    <w:rsid w:val="6E2F6809"/>
    <w:rsid w:val="6E49116B"/>
    <w:rsid w:val="6E4D7511"/>
    <w:rsid w:val="6E505BF2"/>
    <w:rsid w:val="6E65267E"/>
    <w:rsid w:val="6E697118"/>
    <w:rsid w:val="6EAB5825"/>
    <w:rsid w:val="6EB172EC"/>
    <w:rsid w:val="6EE67BF2"/>
    <w:rsid w:val="6EF54E4F"/>
    <w:rsid w:val="6F0B2143"/>
    <w:rsid w:val="6F5C19F5"/>
    <w:rsid w:val="6F7E254A"/>
    <w:rsid w:val="6FC347C7"/>
    <w:rsid w:val="6FDB1F9F"/>
    <w:rsid w:val="6FDF70C2"/>
    <w:rsid w:val="6FFD6DB3"/>
    <w:rsid w:val="701A2DBF"/>
    <w:rsid w:val="70251764"/>
    <w:rsid w:val="70390D6C"/>
    <w:rsid w:val="70451219"/>
    <w:rsid w:val="70473960"/>
    <w:rsid w:val="709E6BC8"/>
    <w:rsid w:val="70B20A12"/>
    <w:rsid w:val="70B5458A"/>
    <w:rsid w:val="70D96BE4"/>
    <w:rsid w:val="70EF253A"/>
    <w:rsid w:val="71332223"/>
    <w:rsid w:val="713C63DA"/>
    <w:rsid w:val="71461035"/>
    <w:rsid w:val="714F6D11"/>
    <w:rsid w:val="715C7408"/>
    <w:rsid w:val="719A3A8C"/>
    <w:rsid w:val="71BD0006"/>
    <w:rsid w:val="722C0B88"/>
    <w:rsid w:val="724845BB"/>
    <w:rsid w:val="725676CF"/>
    <w:rsid w:val="728618EE"/>
    <w:rsid w:val="72C323D2"/>
    <w:rsid w:val="72CF4CBE"/>
    <w:rsid w:val="72F0605A"/>
    <w:rsid w:val="72FD0776"/>
    <w:rsid w:val="73044836"/>
    <w:rsid w:val="732B2B8B"/>
    <w:rsid w:val="733F6699"/>
    <w:rsid w:val="73510FD1"/>
    <w:rsid w:val="73982799"/>
    <w:rsid w:val="73D019E7"/>
    <w:rsid w:val="73E87573"/>
    <w:rsid w:val="742F5B33"/>
    <w:rsid w:val="74404DBF"/>
    <w:rsid w:val="744C0614"/>
    <w:rsid w:val="745C24F1"/>
    <w:rsid w:val="74624D35"/>
    <w:rsid w:val="746520A3"/>
    <w:rsid w:val="74A03FF3"/>
    <w:rsid w:val="74A470FC"/>
    <w:rsid w:val="74B54D12"/>
    <w:rsid w:val="74D3178F"/>
    <w:rsid w:val="74EA412A"/>
    <w:rsid w:val="74EE0377"/>
    <w:rsid w:val="74F61AF8"/>
    <w:rsid w:val="74FA373C"/>
    <w:rsid w:val="74FE2B8F"/>
    <w:rsid w:val="755E2FA8"/>
    <w:rsid w:val="75A44ED9"/>
    <w:rsid w:val="75AB1A92"/>
    <w:rsid w:val="75BB2F2F"/>
    <w:rsid w:val="75C72835"/>
    <w:rsid w:val="75CF603F"/>
    <w:rsid w:val="75D41D4C"/>
    <w:rsid w:val="76452218"/>
    <w:rsid w:val="76652756"/>
    <w:rsid w:val="766B15C7"/>
    <w:rsid w:val="76765915"/>
    <w:rsid w:val="76B7626B"/>
    <w:rsid w:val="76B86E8E"/>
    <w:rsid w:val="76B96195"/>
    <w:rsid w:val="76BA7CEA"/>
    <w:rsid w:val="771E2A6F"/>
    <w:rsid w:val="776B5CAF"/>
    <w:rsid w:val="777530B3"/>
    <w:rsid w:val="778B45A3"/>
    <w:rsid w:val="778F713D"/>
    <w:rsid w:val="77A15B74"/>
    <w:rsid w:val="780E581A"/>
    <w:rsid w:val="783D01A7"/>
    <w:rsid w:val="78525A87"/>
    <w:rsid w:val="78553DC5"/>
    <w:rsid w:val="785E1CB7"/>
    <w:rsid w:val="788C05D2"/>
    <w:rsid w:val="78AF2513"/>
    <w:rsid w:val="79083BF1"/>
    <w:rsid w:val="790A14F7"/>
    <w:rsid w:val="79112886"/>
    <w:rsid w:val="791B1956"/>
    <w:rsid w:val="79523DD7"/>
    <w:rsid w:val="799A4B49"/>
    <w:rsid w:val="79A43FD1"/>
    <w:rsid w:val="79BA4CCB"/>
    <w:rsid w:val="79BB1809"/>
    <w:rsid w:val="79BC6C95"/>
    <w:rsid w:val="79D72945"/>
    <w:rsid w:val="7A2955D1"/>
    <w:rsid w:val="7A5A025C"/>
    <w:rsid w:val="7A6F443F"/>
    <w:rsid w:val="7A793954"/>
    <w:rsid w:val="7A9279F6"/>
    <w:rsid w:val="7A971B9E"/>
    <w:rsid w:val="7AD21C22"/>
    <w:rsid w:val="7B354F51"/>
    <w:rsid w:val="7B562E02"/>
    <w:rsid w:val="7B6148FE"/>
    <w:rsid w:val="7B7B2AE5"/>
    <w:rsid w:val="7B871FFE"/>
    <w:rsid w:val="7B8A60A5"/>
    <w:rsid w:val="7BB35E76"/>
    <w:rsid w:val="7C1504D5"/>
    <w:rsid w:val="7C1E5CD0"/>
    <w:rsid w:val="7C211032"/>
    <w:rsid w:val="7C3A2A38"/>
    <w:rsid w:val="7C4A0DEC"/>
    <w:rsid w:val="7C4B0C79"/>
    <w:rsid w:val="7C6D4277"/>
    <w:rsid w:val="7C946E3A"/>
    <w:rsid w:val="7CA41E7E"/>
    <w:rsid w:val="7CF02199"/>
    <w:rsid w:val="7DBD303D"/>
    <w:rsid w:val="7E011E92"/>
    <w:rsid w:val="7E307781"/>
    <w:rsid w:val="7E3E19A2"/>
    <w:rsid w:val="7E637746"/>
    <w:rsid w:val="7E722019"/>
    <w:rsid w:val="7EF766B2"/>
    <w:rsid w:val="7F36015E"/>
    <w:rsid w:val="7F3C4F87"/>
    <w:rsid w:val="7F6578FB"/>
    <w:rsid w:val="7F80073F"/>
    <w:rsid w:val="7FC425F8"/>
    <w:rsid w:val="7FD70437"/>
    <w:rsid w:val="7FDB5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9"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jc w:val="center"/>
      <w:outlineLvl w:val="0"/>
    </w:pPr>
    <w:rPr>
      <w:b/>
      <w:kern w:val="44"/>
      <w:sz w:val="28"/>
      <w:szCs w:val="44"/>
    </w:rPr>
  </w:style>
  <w:style w:type="paragraph" w:styleId="3">
    <w:name w:val="heading 2"/>
    <w:basedOn w:val="1"/>
    <w:next w:val="1"/>
    <w:link w:val="58"/>
    <w:unhideWhenUsed/>
    <w:qFormat/>
    <w:uiPriority w:val="0"/>
    <w:pPr>
      <w:keepNext/>
      <w:keepLines/>
      <w:spacing w:before="260" w:after="260" w:line="413" w:lineRule="auto"/>
      <w:jc w:val="left"/>
      <w:outlineLvl w:val="1"/>
    </w:pPr>
    <w:rPr>
      <w:rFonts w:ascii="Arial" w:hAnsi="Arial" w:eastAsia="宋体"/>
      <w:b/>
    </w:rPr>
  </w:style>
  <w:style w:type="paragraph" w:styleId="4">
    <w:name w:val="heading 3"/>
    <w:basedOn w:val="1"/>
    <w:next w:val="1"/>
    <w:unhideWhenUsed/>
    <w:qFormat/>
    <w:uiPriority w:val="0"/>
    <w:pPr>
      <w:spacing w:before="260" w:after="260" w:line="413" w:lineRule="auto"/>
      <w:jc w:val="center"/>
      <w:outlineLvl w:val="2"/>
    </w:pPr>
    <w:rPr>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semiHidden/>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character" w:default="1" w:styleId="27">
    <w:name w:val="Default Paragraph Font"/>
    <w:link w:val="28"/>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autoSpaceDE w:val="0"/>
      <w:autoSpaceDN w:val="0"/>
      <w:spacing w:line="360" w:lineRule="auto"/>
      <w:ind w:left="181" w:firstLine="420"/>
    </w:pPr>
    <w:rPr>
      <w:rFonts w:ascii="Times New Roman" w:hAnsi="Times New Roman"/>
      <w:szCs w:val="20"/>
    </w:rPr>
  </w:style>
  <w:style w:type="paragraph" w:styleId="8">
    <w:name w:val="annotation text"/>
    <w:basedOn w:val="1"/>
    <w:qFormat/>
    <w:uiPriority w:val="0"/>
    <w:pPr>
      <w:jc w:val="left"/>
    </w:pPr>
    <w:rPr>
      <w:rFonts w:ascii="Times New Roman" w:hAnsi="Times New Roman"/>
    </w:rPr>
  </w:style>
  <w:style w:type="paragraph" w:styleId="9">
    <w:name w:val="Body Text"/>
    <w:basedOn w:val="1"/>
    <w:qFormat/>
    <w:uiPriority w:val="0"/>
    <w:pPr>
      <w:spacing w:line="360" w:lineRule="auto"/>
    </w:pPr>
    <w:rPr>
      <w:b/>
      <w:bCs/>
      <w:sz w:val="24"/>
    </w:rPr>
  </w:style>
  <w:style w:type="paragraph" w:styleId="10">
    <w:name w:val="Body Text Indent"/>
    <w:basedOn w:val="1"/>
    <w:qFormat/>
    <w:uiPriority w:val="0"/>
    <w:pPr>
      <w:spacing w:after="120" w:afterLines="0"/>
      <w:ind w:left="420" w:leftChars="200"/>
    </w:pPr>
  </w:style>
  <w:style w:type="paragraph" w:styleId="11">
    <w:name w:val="toc 3"/>
    <w:basedOn w:val="1"/>
    <w:next w:val="1"/>
    <w:qFormat/>
    <w:uiPriority w:val="0"/>
    <w:pPr>
      <w:ind w:left="840" w:leftChars="400"/>
    </w:pPr>
  </w:style>
  <w:style w:type="paragraph" w:styleId="12">
    <w:name w:val="Plain Text"/>
    <w:basedOn w:val="1"/>
    <w:qFormat/>
    <w:uiPriority w:val="0"/>
    <w:pPr>
      <w:spacing w:line="360" w:lineRule="auto"/>
    </w:pPr>
    <w:rPr>
      <w:rFonts w:ascii="宋体" w:hAnsi="Courier New"/>
      <w:szCs w:val="21"/>
    </w:rPr>
  </w:style>
  <w:style w:type="paragraph" w:styleId="13">
    <w:name w:val="Balloon Text"/>
    <w:basedOn w:val="1"/>
    <w:link w:val="55"/>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style>
  <w:style w:type="paragraph" w:styleId="17">
    <w:name w:val="index heading"/>
    <w:basedOn w:val="1"/>
    <w:next w:val="18"/>
    <w:semiHidden/>
    <w:qFormat/>
    <w:uiPriority w:val="0"/>
    <w:rPr>
      <w:szCs w:val="20"/>
    </w:rPr>
  </w:style>
  <w:style w:type="paragraph" w:styleId="18">
    <w:name w:val="index 1"/>
    <w:basedOn w:val="1"/>
    <w:next w:val="1"/>
    <w:semiHidden/>
    <w:qFormat/>
    <w:uiPriority w:val="0"/>
  </w:style>
  <w:style w:type="paragraph" w:styleId="19">
    <w:name w:val="Body Text Indent 3"/>
    <w:basedOn w:val="1"/>
    <w:qFormat/>
    <w:uiPriority w:val="0"/>
    <w:pPr>
      <w:spacing w:after="120"/>
      <w:ind w:left="420" w:leftChars="200"/>
    </w:pPr>
    <w:rPr>
      <w:sz w:val="16"/>
      <w:szCs w:val="16"/>
    </w:rPr>
  </w:style>
  <w:style w:type="paragraph" w:styleId="20">
    <w:name w:val="toc 2"/>
    <w:basedOn w:val="1"/>
    <w:next w:val="1"/>
    <w:qFormat/>
    <w:uiPriority w:val="0"/>
    <w:pPr>
      <w:ind w:left="420" w:leftChars="200"/>
    </w:pPr>
  </w:style>
  <w:style w:type="paragraph" w:styleId="21">
    <w:name w:val="Message Header"/>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Arial" w:hAnsi="Arial" w:eastAsia="宋体" w:cs="Times New Roman"/>
      <w:kern w:val="2"/>
      <w:sz w:val="24"/>
      <w:szCs w:val="24"/>
      <w:lang w:val="en-US" w:eastAsia="zh-CN" w:bidi="ar-SA"/>
    </w:rPr>
  </w:style>
  <w:style w:type="paragraph" w:styleId="22">
    <w:name w:val="Normal (Web)"/>
    <w:basedOn w:val="1"/>
    <w:qFormat/>
    <w:uiPriority w:val="0"/>
    <w:pPr>
      <w:spacing w:beforeAutospacing="1" w:afterAutospacing="1"/>
      <w:jc w:val="left"/>
    </w:pPr>
    <w:rPr>
      <w:rFonts w:cs="Times New Roman"/>
      <w:kern w:val="0"/>
      <w:sz w:val="24"/>
    </w:rPr>
  </w:style>
  <w:style w:type="paragraph" w:styleId="23">
    <w:name w:val="Body Text First Indent"/>
    <w:basedOn w:val="9"/>
    <w:qFormat/>
    <w:uiPriority w:val="0"/>
    <w:pPr>
      <w:ind w:firstLine="420" w:firstLineChars="100"/>
    </w:pPr>
    <w:rPr>
      <w:rFonts w:ascii="宋体" w:hAnsi="Calibri"/>
      <w:szCs w:val="20"/>
    </w:rPr>
  </w:style>
  <w:style w:type="paragraph" w:styleId="24">
    <w:name w:val="Body Text First Indent 2"/>
    <w:basedOn w:val="10"/>
    <w:qFormat/>
    <w:uiPriority w:val="0"/>
    <w:pPr>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8">
    <w:name w:val=" Char"/>
    <w:link w:val="27"/>
    <w:unhideWhenUsed/>
    <w:qFormat/>
    <w:uiPriority w:val="0"/>
    <w:pPr>
      <w:widowControl w:val="0"/>
      <w:shd w:val="clear" w:color="auto" w:fill="000080"/>
      <w:adjustRightInd w:val="0"/>
      <w:snapToGrid w:val="0"/>
      <w:spacing w:beforeLines="0" w:afterLines="0" w:line="360" w:lineRule="auto"/>
      <w:jc w:val="both"/>
    </w:pPr>
    <w:rPr>
      <w:rFonts w:hint="default" w:ascii="Tahoma" w:hAnsi="Tahoma" w:eastAsia="宋体" w:cs="Times New Roman"/>
      <w:kern w:val="2"/>
      <w:sz w:val="24"/>
      <w:szCs w:val="24"/>
      <w:lang w:val="en-US" w:eastAsia="zh-CN" w:bidi="ar-SA"/>
    </w:rPr>
  </w:style>
  <w:style w:type="character" w:styleId="29">
    <w:name w:val="Strong"/>
    <w:basedOn w:val="27"/>
    <w:qFormat/>
    <w:uiPriority w:val="0"/>
  </w:style>
  <w:style w:type="character" w:styleId="30">
    <w:name w:val="FollowedHyperlink"/>
    <w:basedOn w:val="27"/>
    <w:qFormat/>
    <w:uiPriority w:val="0"/>
    <w:rPr>
      <w:color w:val="3D3D3D"/>
      <w:u w:val="none"/>
    </w:rPr>
  </w:style>
  <w:style w:type="character" w:styleId="31">
    <w:name w:val="Emphasis"/>
    <w:basedOn w:val="27"/>
    <w:qFormat/>
    <w:uiPriority w:val="0"/>
  </w:style>
  <w:style w:type="character" w:styleId="32">
    <w:name w:val="HTML Definition"/>
    <w:basedOn w:val="27"/>
    <w:qFormat/>
    <w:uiPriority w:val="0"/>
  </w:style>
  <w:style w:type="character" w:styleId="33">
    <w:name w:val="HTML Acronym"/>
    <w:basedOn w:val="27"/>
    <w:qFormat/>
    <w:uiPriority w:val="0"/>
  </w:style>
  <w:style w:type="character" w:styleId="34">
    <w:name w:val="HTML Variable"/>
    <w:basedOn w:val="27"/>
    <w:qFormat/>
    <w:uiPriority w:val="0"/>
  </w:style>
  <w:style w:type="character" w:styleId="35">
    <w:name w:val="Hyperlink"/>
    <w:basedOn w:val="27"/>
    <w:qFormat/>
    <w:uiPriority w:val="0"/>
    <w:rPr>
      <w:color w:val="3D3D3D"/>
      <w:u w:val="none"/>
    </w:rPr>
  </w:style>
  <w:style w:type="character" w:styleId="36">
    <w:name w:val="HTML Code"/>
    <w:basedOn w:val="27"/>
    <w:qFormat/>
    <w:uiPriority w:val="0"/>
    <w:rPr>
      <w:rFonts w:ascii="Courier New" w:hAnsi="Courier New"/>
      <w:sz w:val="20"/>
    </w:rPr>
  </w:style>
  <w:style w:type="character" w:styleId="37">
    <w:name w:val="annotation reference"/>
    <w:qFormat/>
    <w:uiPriority w:val="0"/>
    <w:rPr>
      <w:sz w:val="21"/>
      <w:szCs w:val="21"/>
    </w:rPr>
  </w:style>
  <w:style w:type="character" w:styleId="38">
    <w:name w:val="HTML Cite"/>
    <w:basedOn w:val="27"/>
    <w:qFormat/>
    <w:uiPriority w:val="0"/>
  </w:style>
  <w:style w:type="paragraph" w:customStyle="1" w:styleId="39">
    <w:name w:val="_Style 3"/>
    <w:basedOn w:val="1"/>
    <w:next w:val="19"/>
    <w:qFormat/>
    <w:uiPriority w:val="0"/>
    <w:pPr>
      <w:autoSpaceDE w:val="0"/>
      <w:autoSpaceDN w:val="0"/>
      <w:adjustRightInd w:val="0"/>
      <w:spacing w:line="480" w:lineRule="exact"/>
      <w:ind w:firstLine="560"/>
      <w:jc w:val="left"/>
    </w:pPr>
    <w:rPr>
      <w:rFonts w:ascii="宋体" w:hAnsi="宋体"/>
      <w:color w:val="000000"/>
      <w:kern w:val="0"/>
      <w:sz w:val="28"/>
      <w:szCs w:val="20"/>
    </w:rPr>
  </w:style>
  <w:style w:type="paragraph" w:customStyle="1" w:styleId="4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character" w:customStyle="1" w:styleId="41">
    <w:name w:val="gpa"/>
    <w:basedOn w:val="27"/>
    <w:qFormat/>
    <w:uiPriority w:val="0"/>
    <w:rPr>
      <w:rFonts w:ascii="Arial" w:hAnsi="Arial" w:cs="Arial"/>
      <w:sz w:val="15"/>
      <w:szCs w:val="15"/>
    </w:rPr>
  </w:style>
  <w:style w:type="character" w:customStyle="1" w:styleId="42">
    <w:name w:val="selected"/>
    <w:basedOn w:val="27"/>
    <w:qFormat/>
    <w:uiPriority w:val="0"/>
    <w:rPr>
      <w:shd w:val="clear" w:color="auto" w:fill="B00006"/>
    </w:rPr>
  </w:style>
  <w:style w:type="character" w:customStyle="1" w:styleId="43">
    <w:name w:val="displayarti"/>
    <w:basedOn w:val="27"/>
    <w:qFormat/>
    <w:uiPriority w:val="0"/>
    <w:rPr>
      <w:color w:val="FFFFFF"/>
      <w:shd w:val="clear" w:color="auto" w:fill="A00000"/>
    </w:rPr>
  </w:style>
  <w:style w:type="character" w:customStyle="1" w:styleId="44">
    <w:name w:val="bds_more"/>
    <w:basedOn w:val="27"/>
    <w:qFormat/>
    <w:uiPriority w:val="0"/>
    <w:rPr>
      <w:rFonts w:hint="eastAsia" w:ascii="宋体" w:hAnsi="宋体" w:eastAsia="宋体" w:cs="宋体"/>
    </w:rPr>
  </w:style>
  <w:style w:type="character" w:customStyle="1" w:styleId="45">
    <w:name w:val="bds_more1"/>
    <w:basedOn w:val="27"/>
    <w:qFormat/>
    <w:uiPriority w:val="0"/>
  </w:style>
  <w:style w:type="character" w:customStyle="1" w:styleId="46">
    <w:name w:val="bds_more2"/>
    <w:basedOn w:val="27"/>
    <w:qFormat/>
    <w:uiPriority w:val="0"/>
  </w:style>
  <w:style w:type="character" w:customStyle="1" w:styleId="47">
    <w:name w:val="bds_nopic"/>
    <w:basedOn w:val="27"/>
    <w:qFormat/>
    <w:uiPriority w:val="0"/>
  </w:style>
  <w:style w:type="character" w:customStyle="1" w:styleId="48">
    <w:name w:val="bds_nopic1"/>
    <w:basedOn w:val="27"/>
    <w:qFormat/>
    <w:uiPriority w:val="0"/>
  </w:style>
  <w:style w:type="character" w:customStyle="1" w:styleId="49">
    <w:name w:val="bds_nopic2"/>
    <w:basedOn w:val="27"/>
    <w:qFormat/>
    <w:uiPriority w:val="0"/>
  </w:style>
  <w:style w:type="paragraph" w:customStyle="1" w:styleId="50">
    <w:name w:val="列出段落1"/>
    <w:basedOn w:val="1"/>
    <w:qFormat/>
    <w:uiPriority w:val="0"/>
    <w:pPr>
      <w:ind w:firstLine="420" w:firstLineChars="200"/>
    </w:pPr>
    <w:rPr>
      <w:rFonts w:ascii="Calibri" w:hAnsi="Calibri"/>
      <w:szCs w:val="22"/>
    </w:rPr>
  </w:style>
  <w:style w:type="paragraph" w:customStyle="1" w:styleId="51">
    <w:name w:val="列出段落11"/>
    <w:basedOn w:val="1"/>
    <w:qFormat/>
    <w:uiPriority w:val="0"/>
    <w:pPr>
      <w:ind w:firstLine="420" w:firstLineChars="200"/>
    </w:pPr>
    <w:rPr>
      <w:rFonts w:ascii="Calibri" w:hAnsi="Calibri"/>
      <w:szCs w:val="22"/>
    </w:rPr>
  </w:style>
  <w:style w:type="paragraph" w:customStyle="1" w:styleId="52">
    <w:name w:val="正文缩进1"/>
    <w:basedOn w:val="1"/>
    <w:qFormat/>
    <w:uiPriority w:val="0"/>
    <w:pPr>
      <w:spacing w:line="300" w:lineRule="auto"/>
      <w:ind w:firstLine="420"/>
    </w:pPr>
    <w:rPr>
      <w:snapToGrid w:val="0"/>
      <w:sz w:val="24"/>
      <w:lang w:eastAsia="en-US"/>
    </w:rPr>
  </w:style>
  <w:style w:type="character" w:customStyle="1" w:styleId="53">
    <w:name w:val="apple-style-span"/>
    <w:basedOn w:val="27"/>
    <w:qFormat/>
    <w:uiPriority w:val="0"/>
  </w:style>
  <w:style w:type="paragraph" w:customStyle="1" w:styleId="54">
    <w:name w:val="xl43"/>
    <w:basedOn w:val="1"/>
    <w:qFormat/>
    <w:uiPriority w:val="0"/>
    <w:pPr>
      <w:widowControl/>
      <w:pBdr>
        <w:bottom w:val="single" w:color="auto" w:sz="4" w:space="0"/>
      </w:pBdr>
      <w:spacing w:before="100" w:beforeAutospacing="1" w:after="100" w:afterAutospacing="1"/>
      <w:jc w:val="center"/>
    </w:pPr>
    <w:rPr>
      <w:rFonts w:ascii="仿宋_GB2312" w:hAnsi="Arial Unicode MS" w:eastAsia="仿宋_GB2312"/>
      <w:kern w:val="0"/>
      <w:sz w:val="24"/>
    </w:rPr>
  </w:style>
  <w:style w:type="character" w:customStyle="1" w:styleId="55">
    <w:name w:val="批注框文本 Char"/>
    <w:basedOn w:val="27"/>
    <w:link w:val="13"/>
    <w:qFormat/>
    <w:uiPriority w:val="0"/>
    <w:rPr>
      <w:rFonts w:asciiTheme="minorHAnsi" w:hAnsiTheme="minorHAnsi" w:eastAsiaTheme="minorEastAsia" w:cstheme="minorBidi"/>
      <w:kern w:val="2"/>
      <w:sz w:val="18"/>
      <w:szCs w:val="18"/>
    </w:rPr>
  </w:style>
  <w:style w:type="character" w:customStyle="1" w:styleId="56">
    <w:name w:val="标题 3 Char2"/>
    <w:qFormat/>
    <w:uiPriority w:val="0"/>
    <w:rPr>
      <w:b/>
      <w:sz w:val="32"/>
    </w:rPr>
  </w:style>
  <w:style w:type="paragraph" w:customStyle="1" w:styleId="57">
    <w:name w:val="样式 USE 1 + 行距: 单倍行距"/>
    <w:basedOn w:val="1"/>
    <w:qFormat/>
    <w:uiPriority w:val="0"/>
    <w:pPr>
      <w:numPr>
        <w:ilvl w:val="0"/>
        <w:numId w:val="1"/>
      </w:numPr>
      <w:spacing w:line="180" w:lineRule="atLeast"/>
      <w:jc w:val="left"/>
    </w:pPr>
    <w:rPr>
      <w:rFonts w:ascii="宋体" w:hAnsi="宋体" w:cs="宋体"/>
      <w:b/>
      <w:bCs/>
      <w:sz w:val="24"/>
      <w:szCs w:val="20"/>
    </w:rPr>
  </w:style>
  <w:style w:type="character" w:customStyle="1" w:styleId="58">
    <w:name w:val="标题 2 Char"/>
    <w:link w:val="3"/>
    <w:qFormat/>
    <w:uiPriority w:val="0"/>
    <w:rPr>
      <w:rFonts w:ascii="Arial" w:hAnsi="Arial" w:eastAsia="宋体"/>
      <w:b/>
    </w:rPr>
  </w:style>
  <w:style w:type="paragraph" w:customStyle="1" w:styleId="59">
    <w:name w:val="USE 1"/>
    <w:basedOn w:val="1"/>
    <w:qFormat/>
    <w:uiPriority w:val="0"/>
    <w:pPr>
      <w:spacing w:line="200" w:lineRule="atLeast"/>
      <w:jc w:val="left"/>
    </w:pPr>
    <w:rPr>
      <w:rFonts w:ascii="宋体" w:hAnsi="宋体"/>
      <w:b/>
      <w:sz w:val="24"/>
      <w:szCs w:val="28"/>
    </w:rPr>
  </w:style>
  <w:style w:type="paragraph" w:customStyle="1" w:styleId="60">
    <w:name w:val="WPSOffice手动目录 1"/>
    <w:qFormat/>
    <w:uiPriority w:val="0"/>
    <w:rPr>
      <w:rFonts w:ascii="Times New Roman" w:hAnsi="Times New Roman" w:eastAsia="宋体" w:cs="Times New Roman"/>
      <w:lang w:val="en-US" w:eastAsia="zh-CN" w:bidi="ar-SA"/>
    </w:rPr>
  </w:style>
  <w:style w:type="paragraph" w:customStyle="1" w:styleId="6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2">
    <w:name w:val="WPSOffice手动目录 3"/>
    <w:qFormat/>
    <w:uiPriority w:val="0"/>
    <w:pPr>
      <w:ind w:left="400" w:leftChars="400"/>
    </w:pPr>
    <w:rPr>
      <w:rFonts w:ascii="Times New Roman" w:hAnsi="Times New Roman" w:eastAsia="宋体" w:cs="Times New Roman"/>
      <w:lang w:val="en-US" w:eastAsia="zh-CN" w:bidi="ar-SA"/>
    </w:rPr>
  </w:style>
  <w:style w:type="paragraph" w:styleId="63">
    <w:name w:val="List Paragraph"/>
    <w:qFormat/>
    <w:uiPriority w:val="0"/>
    <w:pPr>
      <w:widowControl w:val="0"/>
      <w:ind w:firstLine="420" w:firstLineChars="200"/>
      <w:jc w:val="both"/>
    </w:pPr>
    <w:rPr>
      <w:rFonts w:ascii="Tahoma" w:hAnsi="Tahoma" w:eastAsia="宋体" w:cs="Times New Roman"/>
      <w:kern w:val="2"/>
      <w:sz w:val="24"/>
      <w:szCs w:val="24"/>
      <w:lang w:val="en-US" w:eastAsia="zh-CN" w:bidi="ar-SA"/>
    </w:rPr>
  </w:style>
  <w:style w:type="paragraph" w:customStyle="1" w:styleId="64">
    <w:name w:val="列出段落2"/>
    <w:basedOn w:val="1"/>
    <w:qFormat/>
    <w:uiPriority w:val="0"/>
    <w:pPr>
      <w:ind w:firstLine="420" w:firstLineChars="200"/>
    </w:pPr>
    <w:rPr>
      <w:rFonts w:ascii="Calibri" w:hAnsi="Calibri" w:eastAsia="宋体" w:cs="Times New Roman"/>
    </w:rPr>
  </w:style>
  <w:style w:type="character" w:customStyle="1" w:styleId="65">
    <w:name w:val="font11"/>
    <w:basedOn w:val="27"/>
    <w:unhideWhenUsed/>
    <w:qFormat/>
    <w:uiPriority w:val="0"/>
    <w:rPr>
      <w:rFonts w:hint="eastAsia" w:ascii="宋体" w:hAnsi="宋体" w:cs="宋体"/>
      <w:color w:val="000000"/>
      <w:sz w:val="22"/>
      <w:szCs w:val="22"/>
    </w:rPr>
  </w:style>
  <w:style w:type="paragraph" w:customStyle="1" w:styleId="66">
    <w:name w:val="null3"/>
    <w:hidden/>
    <w:qFormat/>
    <w:uiPriority w:val="0"/>
    <w:rPr>
      <w:rFonts w:hint="eastAsia" w:asciiTheme="minorHAnsi" w:hAnsiTheme="minorHAnsi" w:eastAsiaTheme="minorEastAsia" w:cstheme="minorBidi"/>
      <w:lang w:val="en-US" w:eastAsia="zh-Hans"/>
    </w:rPr>
  </w:style>
  <w:style w:type="paragraph" w:customStyle="1" w:styleId="67">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68">
    <w:name w:val="目录 611"/>
    <w:basedOn w:val="1"/>
    <w:next w:val="1"/>
    <w:unhideWhenUsed/>
    <w:qFormat/>
    <w:uiPriority w:val="39"/>
    <w:pPr>
      <w:spacing w:after="57"/>
      <w:ind w:left="1417"/>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21</Pages>
  <Words>11796</Words>
  <Characters>11998</Characters>
  <Lines>314</Lines>
  <Paragraphs>88</Paragraphs>
  <TotalTime>0</TotalTime>
  <ScaleCrop>false</ScaleCrop>
  <LinksUpToDate>false</LinksUpToDate>
  <CharactersWithSpaces>12079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2021-05-04T02:54:00Z</dcterms:created>
  <dc:creator>Administrator</dc:creator>
  <cp:lastModifiedBy>jt</cp:lastModifiedBy>
  <cp:lastPrinted>2016-06-03T02:20:00Z</cp:lastPrinted>
  <dcterms:modified xsi:type="dcterms:W3CDTF">2026-07-30T11:15:03Z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193D266D042A495DA5B14CD58F087548_13</vt:lpwstr>
  </property>
  <property fmtid="{D5CDD505-2E9C-101B-9397-08002B2CF9AE}" pid="4" name="KSOTemplateDocerSaveRecord">
    <vt:lpwstr>eyJoZGlkIjoiYTNkOTU0YmQ2MDgwOGQ0OTY3MjkwNjRjMWY1NWUyMGMiLCJ1c2VySWQiOiIxNjY5Njk0Mzc4In0=</vt:lpwstr>
  </property>
</Properties>
</file>