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3C26F7">
      <w:pPr>
        <w:jc w:val="center"/>
        <w:rPr>
          <w:rFonts w:ascii="新宋体" w:hAnsi="新宋体" w:eastAsia="新宋体" w:cs="宋体"/>
          <w:b/>
          <w:bCs/>
          <w:sz w:val="44"/>
          <w:szCs w:val="44"/>
        </w:rPr>
      </w:pPr>
      <w:r>
        <w:rPr>
          <w:rFonts w:hint="eastAsia" w:ascii="新宋体" w:hAnsi="新宋体" w:eastAsia="新宋体" w:cs="宋体"/>
          <w:b/>
          <w:bCs/>
          <w:sz w:val="44"/>
          <w:szCs w:val="44"/>
        </w:rPr>
        <w:t>湛江中心人民医院2026年中秋节月饼采购项目需求书</w:t>
      </w:r>
    </w:p>
    <w:p w14:paraId="26E801F0">
      <w:pPr>
        <w:rPr>
          <w:rFonts w:ascii="仿宋" w:hAnsi="仿宋" w:eastAsia="仿宋" w:cs="宋体"/>
          <w:sz w:val="32"/>
          <w:szCs w:val="32"/>
        </w:rPr>
      </w:pPr>
    </w:p>
    <w:p w14:paraId="2A3A26B2">
      <w:pPr>
        <w:ind w:firstLine="707" w:firstLineChars="221"/>
        <w:rPr>
          <w:rFonts w:ascii="黑体" w:hAnsi="黑体" w:eastAsia="黑体" w:cs="宋体"/>
          <w:sz w:val="32"/>
          <w:szCs w:val="32"/>
        </w:rPr>
      </w:pPr>
      <w:r>
        <w:rPr>
          <w:rFonts w:hint="eastAsia" w:ascii="黑体" w:hAnsi="黑体" w:eastAsia="黑体" w:cs="宋体"/>
          <w:sz w:val="32"/>
          <w:szCs w:val="32"/>
        </w:rPr>
        <w:t>一、项目概况</w:t>
      </w:r>
    </w:p>
    <w:p w14:paraId="709DBDF0">
      <w:pPr>
        <w:ind w:firstLine="707" w:firstLineChars="221"/>
        <w:rPr>
          <w:rFonts w:ascii="仿宋" w:hAnsi="仿宋" w:eastAsia="仿宋" w:cs="宋体"/>
          <w:sz w:val="32"/>
          <w:szCs w:val="32"/>
        </w:rPr>
      </w:pPr>
      <w:r>
        <w:rPr>
          <w:rFonts w:hint="eastAsia" w:ascii="仿宋" w:hAnsi="仿宋" w:eastAsia="仿宋" w:cs="宋体"/>
          <w:sz w:val="32"/>
          <w:szCs w:val="32"/>
        </w:rPr>
        <w:t>1.项目名称：2026年中秋节月饼采购项目</w:t>
      </w:r>
    </w:p>
    <w:p w14:paraId="33ECC5EC">
      <w:pPr>
        <w:ind w:firstLine="707" w:firstLineChars="221"/>
        <w:rPr>
          <w:rFonts w:ascii="仿宋" w:hAnsi="仿宋" w:eastAsia="仿宋" w:cs="宋体"/>
          <w:sz w:val="32"/>
          <w:szCs w:val="32"/>
        </w:rPr>
      </w:pPr>
      <w:r>
        <w:rPr>
          <w:rFonts w:hint="eastAsia" w:ascii="仿宋" w:hAnsi="仿宋" w:eastAsia="仿宋" w:cs="宋体"/>
          <w:sz w:val="32"/>
          <w:szCs w:val="32"/>
        </w:rPr>
        <w:t>2.采购单价：固定包干单价60元/份（含税、含包装、含配送、含所有杂费）</w:t>
      </w:r>
    </w:p>
    <w:p w14:paraId="345561D7">
      <w:pPr>
        <w:ind w:firstLine="707" w:firstLineChars="221"/>
        <w:rPr>
          <w:rFonts w:ascii="仿宋" w:hAnsi="仿宋" w:eastAsia="仿宋" w:cs="宋体"/>
          <w:sz w:val="32"/>
          <w:szCs w:val="32"/>
        </w:rPr>
      </w:pPr>
      <w:r>
        <w:rPr>
          <w:rFonts w:hint="eastAsia" w:ascii="仿宋" w:hAnsi="仿宋" w:eastAsia="仿宋" w:cs="宋体"/>
          <w:sz w:val="32"/>
          <w:szCs w:val="32"/>
        </w:rPr>
        <w:t>3.采购总量：共计约5103份。</w:t>
      </w:r>
    </w:p>
    <w:p w14:paraId="0A572A22">
      <w:pPr>
        <w:ind w:firstLine="707" w:firstLineChars="221"/>
        <w:rPr>
          <w:rFonts w:ascii="仿宋" w:hAnsi="仿宋" w:eastAsia="仿宋" w:cs="宋体"/>
          <w:sz w:val="32"/>
          <w:szCs w:val="32"/>
        </w:rPr>
      </w:pPr>
      <w:r>
        <w:rPr>
          <w:rFonts w:hint="eastAsia" w:ascii="仿宋" w:hAnsi="仿宋" w:eastAsia="仿宋" w:cs="宋体"/>
          <w:sz w:val="32"/>
          <w:szCs w:val="32"/>
        </w:rPr>
        <w:t>4.计价方式：本项目为固定单价采购模式，单价不作竞争，供应商无需报价，完全接受本固定单价方可参与本次遴选。最终结算金额=固定单价×实际验收合格份数。</w:t>
      </w:r>
    </w:p>
    <w:p w14:paraId="778D7F33">
      <w:pPr>
        <w:ind w:firstLine="707" w:firstLineChars="221"/>
        <w:rPr>
          <w:rFonts w:ascii="仿宋" w:hAnsi="仿宋" w:eastAsia="仿宋" w:cs="宋体"/>
          <w:sz w:val="32"/>
          <w:szCs w:val="32"/>
        </w:rPr>
      </w:pPr>
      <w:r>
        <w:rPr>
          <w:rFonts w:hint="eastAsia" w:ascii="仿宋" w:hAnsi="仿宋" w:eastAsia="仿宋" w:cs="宋体"/>
          <w:sz w:val="32"/>
          <w:szCs w:val="32"/>
        </w:rPr>
        <w:t>5.采购方式：综合评分遴选（仅对样品品质、规格参数、包装质量、样品试吃、履约服务、业绩等进行综合评审，无价格评审项）。</w:t>
      </w:r>
    </w:p>
    <w:p w14:paraId="483F0BA2">
      <w:pPr>
        <w:ind w:firstLine="707" w:firstLineChars="221"/>
        <w:rPr>
          <w:rFonts w:ascii="仿宋" w:hAnsi="仿宋" w:eastAsia="仿宋" w:cs="宋体"/>
          <w:sz w:val="32"/>
          <w:szCs w:val="32"/>
        </w:rPr>
      </w:pPr>
    </w:p>
    <w:p w14:paraId="59BC1476">
      <w:pPr>
        <w:ind w:firstLine="707" w:firstLineChars="221"/>
        <w:rPr>
          <w:rFonts w:ascii="黑体" w:hAnsi="黑体" w:eastAsia="黑体" w:cs="宋体"/>
          <w:sz w:val="32"/>
          <w:szCs w:val="32"/>
        </w:rPr>
      </w:pPr>
      <w:r>
        <w:rPr>
          <w:rFonts w:hint="eastAsia" w:ascii="黑体" w:hAnsi="黑体" w:eastAsia="黑体" w:cs="宋体"/>
          <w:sz w:val="32"/>
          <w:szCs w:val="32"/>
        </w:rPr>
        <w:t>二、采购产品总体要求</w:t>
      </w:r>
    </w:p>
    <w:p w14:paraId="1B9C716B">
      <w:pPr>
        <w:ind w:firstLine="707" w:firstLineChars="221"/>
        <w:rPr>
          <w:rFonts w:ascii="仿宋" w:hAnsi="仿宋" w:eastAsia="仿宋" w:cs="宋体"/>
          <w:sz w:val="32"/>
          <w:szCs w:val="32"/>
        </w:rPr>
      </w:pPr>
      <w:r>
        <w:rPr>
          <w:rFonts w:hint="eastAsia" w:ascii="仿宋" w:hAnsi="仿宋" w:eastAsia="仿宋" w:cs="宋体"/>
          <w:sz w:val="32"/>
          <w:szCs w:val="32"/>
        </w:rPr>
        <w:t>本项目采购产品为正规品牌中秋月饼礼盒，适用于单位职工节日慰问，产品必须为全新、当期生产、正品行货、符合国家食品安全生产标准，无过期、无临期、无瑕疵、无假冒伪劣产品，严禁三无产品。所有供货成品必须与评审送检盲样完全一致，不得降级、换料、换款、更换包装。</w:t>
      </w:r>
    </w:p>
    <w:p w14:paraId="26BC41DC">
      <w:pPr>
        <w:ind w:firstLine="707" w:firstLineChars="221"/>
        <w:rPr>
          <w:rFonts w:ascii="仿宋" w:hAnsi="仿宋" w:eastAsia="仿宋" w:cs="宋体"/>
          <w:sz w:val="32"/>
          <w:szCs w:val="32"/>
        </w:rPr>
      </w:pPr>
    </w:p>
    <w:p w14:paraId="4AF0CA14">
      <w:pPr>
        <w:ind w:firstLine="707" w:firstLineChars="221"/>
        <w:rPr>
          <w:rFonts w:ascii="黑体" w:hAnsi="黑体" w:eastAsia="黑体" w:cs="宋体"/>
          <w:sz w:val="32"/>
          <w:szCs w:val="32"/>
        </w:rPr>
      </w:pPr>
      <w:r>
        <w:rPr>
          <w:rFonts w:hint="eastAsia" w:ascii="黑体" w:hAnsi="黑体" w:eastAsia="黑体" w:cs="宋体"/>
          <w:sz w:val="32"/>
          <w:szCs w:val="32"/>
        </w:rPr>
        <w:t>三、产品具体技术及规格要求</w:t>
      </w:r>
    </w:p>
    <w:p w14:paraId="38ECCF11">
      <w:pPr>
        <w:ind w:firstLine="707" w:firstLineChars="221"/>
        <w:rPr>
          <w:rFonts w:ascii="仿宋" w:hAnsi="仿宋" w:eastAsia="仿宋" w:cs="宋体"/>
          <w:sz w:val="32"/>
          <w:szCs w:val="32"/>
        </w:rPr>
      </w:pPr>
      <w:r>
        <w:rPr>
          <w:rFonts w:hint="eastAsia" w:ascii="仿宋" w:hAnsi="仿宋" w:eastAsia="仿宋" w:cs="宋体"/>
          <w:sz w:val="32"/>
          <w:szCs w:val="32"/>
        </w:rPr>
        <w:t>1.单份标准：单份礼盒总价固定60元配置，口味搭配≥4种，礼盒内月饼品类搭配合理、大众适口、兼顾传统与新式口味，适合单位职工集体慰问使用。</w:t>
      </w:r>
    </w:p>
    <w:p w14:paraId="1FF0436A">
      <w:pPr>
        <w:ind w:firstLine="707" w:firstLineChars="221"/>
        <w:rPr>
          <w:rFonts w:ascii="仿宋" w:hAnsi="仿宋" w:eastAsia="仿宋" w:cs="宋体"/>
          <w:sz w:val="32"/>
          <w:szCs w:val="32"/>
        </w:rPr>
      </w:pPr>
      <w:r>
        <w:rPr>
          <w:rFonts w:hint="eastAsia" w:ascii="仿宋" w:hAnsi="仿宋" w:eastAsia="仿宋" w:cs="宋体"/>
          <w:sz w:val="32"/>
          <w:szCs w:val="32"/>
        </w:rPr>
        <w:t>2.克重与数量要求：单个月饼克重≥80g，总克重≥480g，不得缺斤少两、低配减配。</w:t>
      </w:r>
    </w:p>
    <w:p w14:paraId="513B0888">
      <w:pPr>
        <w:ind w:firstLine="707" w:firstLineChars="221"/>
        <w:rPr>
          <w:rFonts w:ascii="仿宋" w:hAnsi="仿宋" w:eastAsia="仿宋" w:cs="宋体"/>
          <w:sz w:val="32"/>
          <w:szCs w:val="32"/>
        </w:rPr>
      </w:pPr>
      <w:r>
        <w:rPr>
          <w:rFonts w:hint="eastAsia" w:ascii="仿宋" w:hAnsi="仿宋" w:eastAsia="仿宋" w:cs="宋体"/>
          <w:sz w:val="32"/>
          <w:szCs w:val="32"/>
        </w:rPr>
        <w:t>3.产品品质要求</w:t>
      </w:r>
    </w:p>
    <w:p w14:paraId="65A21597">
      <w:pPr>
        <w:ind w:firstLine="707" w:firstLineChars="221"/>
        <w:rPr>
          <w:rFonts w:ascii="仿宋" w:hAnsi="仿宋" w:eastAsia="仿宋" w:cs="宋体"/>
          <w:sz w:val="32"/>
          <w:szCs w:val="32"/>
        </w:rPr>
      </w:pPr>
      <w:r>
        <w:rPr>
          <w:rFonts w:hint="eastAsia" w:ascii="仿宋" w:hAnsi="仿宋" w:eastAsia="仿宋" w:cs="宋体"/>
          <w:sz w:val="32"/>
          <w:szCs w:val="32"/>
        </w:rPr>
        <w:t>（1）月饼面皮松软适中、馅料充足、口感纯正、无异味、无结块、无霉变；</w:t>
      </w:r>
    </w:p>
    <w:p w14:paraId="10752283">
      <w:pPr>
        <w:ind w:firstLine="707" w:firstLineChars="221"/>
        <w:rPr>
          <w:rFonts w:ascii="仿宋" w:hAnsi="仿宋" w:eastAsia="仿宋" w:cs="宋体"/>
          <w:sz w:val="32"/>
          <w:szCs w:val="32"/>
        </w:rPr>
      </w:pPr>
      <w:r>
        <w:rPr>
          <w:rFonts w:hint="eastAsia" w:ascii="仿宋" w:hAnsi="仿宋" w:eastAsia="仿宋" w:cs="宋体"/>
          <w:sz w:val="32"/>
          <w:szCs w:val="32"/>
        </w:rPr>
        <w:t>（2）产品原材料合规，无违规添加剂，符合国家食品安全标准，提供本次投标产品的第三方检测报告；</w:t>
      </w:r>
    </w:p>
    <w:p w14:paraId="22F3AC78">
      <w:pPr>
        <w:ind w:firstLine="707" w:firstLineChars="221"/>
        <w:rPr>
          <w:rFonts w:ascii="仿宋" w:hAnsi="仿宋" w:eastAsia="仿宋" w:cs="宋体"/>
          <w:sz w:val="32"/>
          <w:szCs w:val="32"/>
        </w:rPr>
      </w:pPr>
      <w:r>
        <w:rPr>
          <w:rFonts w:hint="eastAsia" w:ascii="仿宋" w:hAnsi="仿宋" w:eastAsia="仿宋" w:cs="宋体"/>
          <w:sz w:val="32"/>
          <w:szCs w:val="32"/>
        </w:rPr>
        <w:t>（3）产品生产日期为本次供货近期新鲜批次，保质期剩余时长应≥2/3（例如保质期90天应剩60天及以上），不得临期。</w:t>
      </w:r>
    </w:p>
    <w:p w14:paraId="584054A6">
      <w:pPr>
        <w:ind w:firstLine="707" w:firstLineChars="221"/>
        <w:rPr>
          <w:rFonts w:ascii="仿宋" w:hAnsi="仿宋" w:eastAsia="仿宋" w:cs="宋体"/>
          <w:sz w:val="32"/>
          <w:szCs w:val="32"/>
        </w:rPr>
      </w:pPr>
      <w:r>
        <w:rPr>
          <w:rFonts w:hint="eastAsia" w:ascii="仿宋" w:hAnsi="仿宋" w:eastAsia="仿宋" w:cs="宋体"/>
          <w:sz w:val="32"/>
          <w:szCs w:val="32"/>
        </w:rPr>
        <w:t>4.标识规范：礼盒或单块月饼外包装需完整标注产品名称、配料表、生产厂家、生产日期、保质期、执行标准、食品生产许可证号等法定信息，标识清晰、规范、齐全。</w:t>
      </w:r>
    </w:p>
    <w:p w14:paraId="6FB54877">
      <w:pPr>
        <w:ind w:firstLine="707" w:firstLineChars="221"/>
        <w:rPr>
          <w:rFonts w:ascii="仿宋" w:hAnsi="仿宋" w:eastAsia="仿宋" w:cs="宋体"/>
          <w:sz w:val="32"/>
          <w:szCs w:val="32"/>
        </w:rPr>
      </w:pPr>
      <w:r>
        <w:rPr>
          <w:rFonts w:hint="eastAsia" w:ascii="仿宋" w:hAnsi="仿宋" w:eastAsia="仿宋" w:cs="宋体"/>
          <w:sz w:val="32"/>
          <w:szCs w:val="32"/>
        </w:rPr>
        <w:t xml:space="preserve"> </w:t>
      </w:r>
    </w:p>
    <w:p w14:paraId="3365F36A">
      <w:pPr>
        <w:ind w:firstLine="707" w:firstLineChars="221"/>
        <w:rPr>
          <w:rFonts w:ascii="黑体" w:hAnsi="黑体" w:eastAsia="黑体" w:cs="宋体"/>
          <w:sz w:val="32"/>
          <w:szCs w:val="32"/>
        </w:rPr>
      </w:pPr>
      <w:r>
        <w:rPr>
          <w:rFonts w:hint="eastAsia" w:ascii="黑体" w:hAnsi="黑体" w:eastAsia="黑体" w:cs="宋体"/>
          <w:sz w:val="32"/>
          <w:szCs w:val="32"/>
        </w:rPr>
        <w:t>四、包装要求</w:t>
      </w:r>
    </w:p>
    <w:p w14:paraId="48752E1D">
      <w:pPr>
        <w:ind w:firstLine="707" w:firstLineChars="221"/>
        <w:rPr>
          <w:rFonts w:ascii="仿宋" w:hAnsi="仿宋" w:eastAsia="仿宋" w:cs="宋体"/>
          <w:sz w:val="32"/>
          <w:szCs w:val="32"/>
        </w:rPr>
      </w:pPr>
      <w:r>
        <w:rPr>
          <w:rFonts w:hint="eastAsia" w:ascii="仿宋" w:hAnsi="仿宋" w:eastAsia="仿宋" w:cs="宋体"/>
          <w:sz w:val="32"/>
          <w:szCs w:val="32"/>
        </w:rPr>
        <w:t>1.包装为成品礼盒独立包装，外观整洁、工艺精致、无破损、无压痕、无脱胶、无瑕疵；</w:t>
      </w:r>
    </w:p>
    <w:p w14:paraId="5686F2CE">
      <w:pPr>
        <w:ind w:firstLine="707" w:firstLineChars="221"/>
        <w:rPr>
          <w:rFonts w:ascii="仿宋" w:hAnsi="仿宋" w:eastAsia="仿宋" w:cs="宋体"/>
          <w:sz w:val="32"/>
          <w:szCs w:val="32"/>
        </w:rPr>
      </w:pPr>
      <w:r>
        <w:rPr>
          <w:rFonts w:hint="eastAsia" w:ascii="仿宋" w:hAnsi="仿宋" w:eastAsia="仿宋" w:cs="宋体"/>
          <w:sz w:val="32"/>
          <w:szCs w:val="32"/>
        </w:rPr>
        <w:t>2.礼盒设计庄重、大方、适配单位节日慰问场景，包装材质牢固，适合长途搬运、批量分发；</w:t>
      </w:r>
    </w:p>
    <w:p w14:paraId="7170D4D8">
      <w:pPr>
        <w:ind w:firstLine="707" w:firstLineChars="221"/>
        <w:rPr>
          <w:rFonts w:ascii="仿宋" w:hAnsi="仿宋" w:eastAsia="仿宋" w:cs="宋体"/>
          <w:sz w:val="32"/>
          <w:szCs w:val="32"/>
        </w:rPr>
      </w:pPr>
      <w:r>
        <w:rPr>
          <w:rFonts w:hint="eastAsia" w:ascii="仿宋" w:hAnsi="仿宋" w:eastAsia="仿宋" w:cs="宋体"/>
          <w:sz w:val="32"/>
          <w:szCs w:val="32"/>
        </w:rPr>
        <w:t>3.每一份为独立完整礼盒包装，无需二次组装，到货即可直接分发职工。</w:t>
      </w:r>
    </w:p>
    <w:p w14:paraId="5ACA0583">
      <w:pPr>
        <w:ind w:firstLine="707" w:firstLineChars="221"/>
        <w:rPr>
          <w:rFonts w:ascii="仿宋" w:hAnsi="仿宋" w:eastAsia="仿宋" w:cs="宋体"/>
          <w:sz w:val="32"/>
          <w:szCs w:val="32"/>
        </w:rPr>
      </w:pPr>
      <w:r>
        <w:rPr>
          <w:rFonts w:hint="eastAsia" w:ascii="仿宋" w:hAnsi="仿宋" w:eastAsia="仿宋" w:cs="宋体"/>
          <w:sz w:val="32"/>
          <w:szCs w:val="32"/>
        </w:rPr>
        <w:t xml:space="preserve"> </w:t>
      </w:r>
    </w:p>
    <w:p w14:paraId="4663475F">
      <w:pPr>
        <w:ind w:firstLine="707" w:firstLineChars="221"/>
        <w:rPr>
          <w:rFonts w:ascii="黑体" w:hAnsi="黑体" w:eastAsia="黑体" w:cs="宋体"/>
          <w:sz w:val="32"/>
          <w:szCs w:val="32"/>
        </w:rPr>
      </w:pPr>
      <w:r>
        <w:rPr>
          <w:rFonts w:hint="eastAsia" w:ascii="黑体" w:hAnsi="黑体" w:eastAsia="黑体" w:cs="宋体"/>
          <w:sz w:val="32"/>
          <w:szCs w:val="32"/>
        </w:rPr>
        <w:t>五、供货、交付及售后要求</w:t>
      </w:r>
    </w:p>
    <w:p w14:paraId="7CEE795F">
      <w:pPr>
        <w:ind w:firstLine="707" w:firstLineChars="221"/>
        <w:rPr>
          <w:rFonts w:ascii="仿宋" w:hAnsi="仿宋" w:eastAsia="仿宋" w:cs="宋体"/>
          <w:sz w:val="32"/>
          <w:szCs w:val="32"/>
        </w:rPr>
      </w:pPr>
      <w:r>
        <w:rPr>
          <w:rFonts w:hint="eastAsia" w:ascii="仿宋" w:hAnsi="仿宋" w:eastAsia="仿宋" w:cs="宋体"/>
          <w:sz w:val="32"/>
          <w:szCs w:val="32"/>
        </w:rPr>
        <w:t>1.交货地点：采购人指定院内地点（采购人统一指定卸货、堆放点位）。</w:t>
      </w:r>
    </w:p>
    <w:p w14:paraId="22BB54D4">
      <w:pPr>
        <w:ind w:firstLine="707" w:firstLineChars="221"/>
        <w:rPr>
          <w:rFonts w:ascii="仿宋" w:hAnsi="仿宋" w:eastAsia="仿宋" w:cs="宋体"/>
          <w:sz w:val="32"/>
          <w:szCs w:val="32"/>
        </w:rPr>
      </w:pPr>
      <w:r>
        <w:rPr>
          <w:rFonts w:hint="eastAsia" w:ascii="仿宋" w:hAnsi="仿宋" w:eastAsia="仿宋" w:cs="宋体"/>
          <w:sz w:val="32"/>
          <w:szCs w:val="32"/>
        </w:rPr>
        <w:t>2.交货方式：供应商免费送货上门、卸货堆叠、整齐摆放，所有运输、物流、搬运费用全部包含在固定单价内，采购人无需额外支付任何费用。</w:t>
      </w:r>
    </w:p>
    <w:p w14:paraId="52B7B216">
      <w:pPr>
        <w:ind w:firstLine="707" w:firstLineChars="221"/>
        <w:rPr>
          <w:rFonts w:ascii="仿宋" w:hAnsi="仿宋" w:eastAsia="仿宋" w:cs="宋体"/>
          <w:sz w:val="32"/>
          <w:szCs w:val="32"/>
        </w:rPr>
      </w:pPr>
      <w:r>
        <w:rPr>
          <w:rFonts w:hint="eastAsia" w:ascii="仿宋" w:hAnsi="仿宋" w:eastAsia="仿宋" w:cs="宋体"/>
          <w:sz w:val="32"/>
          <w:szCs w:val="32"/>
        </w:rPr>
        <w:t>3.交货周期：中选供应商需在采购人规定时限内一次性批量完成全部供货，保障节前顺利完成职工发放，不得拖延、分批滞后交付。</w:t>
      </w:r>
    </w:p>
    <w:p w14:paraId="0406DE8A">
      <w:pPr>
        <w:ind w:firstLine="707" w:firstLineChars="221"/>
        <w:rPr>
          <w:rFonts w:ascii="仿宋" w:hAnsi="仿宋" w:eastAsia="仿宋" w:cs="宋体"/>
          <w:sz w:val="32"/>
          <w:szCs w:val="32"/>
        </w:rPr>
      </w:pPr>
      <w:r>
        <w:rPr>
          <w:rFonts w:hint="eastAsia" w:ascii="仿宋" w:hAnsi="仿宋" w:eastAsia="仿宋" w:cs="宋体"/>
          <w:sz w:val="32"/>
          <w:szCs w:val="32"/>
        </w:rPr>
        <w:t>4.售后保障</w:t>
      </w:r>
    </w:p>
    <w:p w14:paraId="128E96C9">
      <w:pPr>
        <w:ind w:firstLine="707" w:firstLineChars="221"/>
        <w:rPr>
          <w:rFonts w:ascii="仿宋" w:hAnsi="仿宋" w:eastAsia="仿宋" w:cs="宋体"/>
          <w:sz w:val="32"/>
          <w:szCs w:val="32"/>
        </w:rPr>
      </w:pPr>
      <w:r>
        <w:rPr>
          <w:rFonts w:hint="eastAsia" w:ascii="仿宋" w:hAnsi="仿宋" w:eastAsia="仿宋" w:cs="宋体"/>
          <w:sz w:val="32"/>
          <w:szCs w:val="32"/>
        </w:rPr>
        <w:t>（1）到货后如存在破损、变质、漏气、过期、规格不符、与样品不一致等质量问题，供应商须无条件免费退换、补货；</w:t>
      </w:r>
    </w:p>
    <w:p w14:paraId="6112074F">
      <w:pPr>
        <w:ind w:firstLine="707" w:firstLineChars="221"/>
        <w:rPr>
          <w:rFonts w:ascii="仿宋" w:hAnsi="仿宋" w:eastAsia="仿宋" w:cs="宋体"/>
          <w:sz w:val="32"/>
          <w:szCs w:val="32"/>
        </w:rPr>
      </w:pPr>
      <w:r>
        <w:rPr>
          <w:rFonts w:hint="eastAsia" w:ascii="仿宋" w:hAnsi="仿宋" w:eastAsia="仿宋" w:cs="宋体"/>
          <w:sz w:val="32"/>
          <w:szCs w:val="32"/>
        </w:rPr>
        <w:t>（2）全程质量质保，因产品质量问题产生的一切损失及舆情风险由供应商全权承担；</w:t>
      </w:r>
    </w:p>
    <w:p w14:paraId="12287A13">
      <w:pPr>
        <w:ind w:firstLine="707" w:firstLineChars="221"/>
        <w:rPr>
          <w:rFonts w:ascii="仿宋" w:hAnsi="仿宋" w:eastAsia="仿宋" w:cs="宋体"/>
          <w:sz w:val="32"/>
          <w:szCs w:val="32"/>
        </w:rPr>
      </w:pPr>
      <w:r>
        <w:rPr>
          <w:rFonts w:hint="eastAsia" w:ascii="仿宋" w:hAnsi="仿宋" w:eastAsia="仿宋" w:cs="宋体"/>
          <w:sz w:val="32"/>
          <w:szCs w:val="32"/>
        </w:rPr>
        <w:t>（3）严禁供货批次、款式、包装、口感与评审送检样品不一致，一经查实，采购人有权取消供货资格、终止合作、不予结算。</w:t>
      </w:r>
    </w:p>
    <w:p w14:paraId="38AF7240">
      <w:pPr>
        <w:ind w:firstLine="707" w:firstLineChars="221"/>
        <w:rPr>
          <w:rFonts w:ascii="仿宋" w:hAnsi="仿宋" w:eastAsia="仿宋" w:cs="宋体"/>
          <w:sz w:val="32"/>
          <w:szCs w:val="32"/>
        </w:rPr>
      </w:pPr>
    </w:p>
    <w:p w14:paraId="393B4976">
      <w:pPr>
        <w:ind w:firstLine="707" w:firstLineChars="221"/>
        <w:rPr>
          <w:rFonts w:ascii="黑体" w:hAnsi="黑体" w:eastAsia="黑体" w:cs="宋体"/>
          <w:sz w:val="32"/>
          <w:szCs w:val="32"/>
        </w:rPr>
      </w:pPr>
      <w:r>
        <w:rPr>
          <w:rFonts w:hint="eastAsia" w:ascii="黑体" w:hAnsi="黑体" w:eastAsia="黑体" w:cs="宋体"/>
          <w:sz w:val="32"/>
          <w:szCs w:val="32"/>
        </w:rPr>
        <w:t>六、供应商资格要求</w:t>
      </w:r>
    </w:p>
    <w:p w14:paraId="00123426">
      <w:pPr>
        <w:ind w:firstLine="707" w:firstLineChars="221"/>
        <w:rPr>
          <w:rFonts w:ascii="仿宋" w:hAnsi="仿宋" w:eastAsia="仿宋" w:cs="宋体"/>
          <w:color w:val="FF0000"/>
          <w:sz w:val="32"/>
          <w:szCs w:val="32"/>
        </w:rPr>
      </w:pPr>
      <w:r>
        <w:rPr>
          <w:rFonts w:hint="eastAsia" w:ascii="仿宋" w:hAnsi="仿宋" w:eastAsia="仿宋" w:cs="宋体"/>
          <w:sz w:val="32"/>
          <w:szCs w:val="32"/>
        </w:rPr>
        <w:t>1.具有独立承担民事责任的能力：在中华人民共和国境内注册的法人或其他组织或自然人，投标时提交有效的营业执照（或事业单位法人证书或身份证等相关证明）复印件。经营（或生产）范围涵盖本项目；</w:t>
      </w:r>
    </w:p>
    <w:p w14:paraId="106B7BE4">
      <w:pPr>
        <w:ind w:firstLine="707" w:firstLineChars="221"/>
        <w:rPr>
          <w:rFonts w:ascii="仿宋" w:hAnsi="仿宋" w:eastAsia="仿宋" w:cs="宋体"/>
          <w:sz w:val="32"/>
          <w:szCs w:val="32"/>
        </w:rPr>
      </w:pPr>
      <w:r>
        <w:rPr>
          <w:rFonts w:hint="eastAsia" w:ascii="仿宋" w:hAnsi="仿宋" w:eastAsia="仿宋" w:cs="宋体"/>
          <w:sz w:val="32"/>
          <w:szCs w:val="32"/>
        </w:rPr>
        <w:t>2.具备有效期内的《食品生产许可证）或《食品经营许可证》；</w:t>
      </w:r>
    </w:p>
    <w:p w14:paraId="1E0CB9D0">
      <w:pPr>
        <w:ind w:firstLine="707" w:firstLineChars="221"/>
        <w:rPr>
          <w:rFonts w:ascii="仿宋" w:hAnsi="仿宋" w:eastAsia="仿宋" w:cs="宋体"/>
          <w:sz w:val="32"/>
          <w:szCs w:val="32"/>
        </w:rPr>
      </w:pPr>
      <w:r>
        <w:rPr>
          <w:rFonts w:hint="eastAsia" w:ascii="仿宋" w:hAnsi="仿宋" w:eastAsia="仿宋" w:cs="宋体"/>
          <w:sz w:val="32"/>
          <w:szCs w:val="32"/>
        </w:rPr>
        <w:t>3.投标人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投标人需提供相关证明资料）。</w:t>
      </w:r>
    </w:p>
    <w:p w14:paraId="180977B1">
      <w:pPr>
        <w:ind w:firstLine="707" w:firstLineChars="221"/>
        <w:rPr>
          <w:rFonts w:ascii="仿宋" w:hAnsi="仿宋" w:eastAsia="仿宋" w:cs="宋体"/>
          <w:sz w:val="32"/>
          <w:szCs w:val="32"/>
        </w:rPr>
      </w:pPr>
      <w:r>
        <w:rPr>
          <w:rFonts w:hint="eastAsia" w:ascii="仿宋" w:hAnsi="仿宋" w:eastAsia="仿宋" w:cs="宋体"/>
          <w:sz w:val="32"/>
          <w:szCs w:val="32"/>
        </w:rPr>
        <w:t>4.单位负责人为同一人或者存在直接控股、管理关系的不同投标人，不得同时参加本采购项目（或采购包）投标（响应）。为本项目提供整体设计、规范编制或者项目管理、监理、检测等服务的投标人，不得再参与本项目投标（响应）。投标（报价）函相关承诺要求内容。</w:t>
      </w:r>
    </w:p>
    <w:p w14:paraId="08CA2798">
      <w:pPr>
        <w:ind w:firstLine="707" w:firstLineChars="221"/>
        <w:rPr>
          <w:rFonts w:ascii="仿宋" w:hAnsi="仿宋" w:eastAsia="仿宋" w:cs="宋体"/>
          <w:sz w:val="32"/>
          <w:szCs w:val="32"/>
        </w:rPr>
      </w:pPr>
      <w:r>
        <w:rPr>
          <w:rFonts w:hint="eastAsia" w:ascii="仿宋" w:hAnsi="仿宋" w:eastAsia="仿宋" w:cs="宋体"/>
          <w:sz w:val="32"/>
          <w:szCs w:val="32"/>
        </w:rPr>
        <w:t>5.本项目不接受联合体投标。</w:t>
      </w:r>
    </w:p>
    <w:p w14:paraId="158E4EED">
      <w:pPr>
        <w:ind w:firstLine="707" w:firstLineChars="221"/>
        <w:rPr>
          <w:rFonts w:ascii="仿宋" w:hAnsi="仿宋" w:eastAsia="仿宋" w:cs="宋体"/>
          <w:sz w:val="32"/>
          <w:szCs w:val="32"/>
        </w:rPr>
      </w:pPr>
    </w:p>
    <w:p w14:paraId="6D03CF6D">
      <w:pPr>
        <w:ind w:firstLine="707" w:firstLineChars="221"/>
        <w:rPr>
          <w:rFonts w:ascii="黑体" w:hAnsi="黑体" w:eastAsia="黑体" w:cs="宋体"/>
          <w:sz w:val="32"/>
          <w:szCs w:val="32"/>
        </w:rPr>
      </w:pPr>
      <w:r>
        <w:rPr>
          <w:rFonts w:hint="eastAsia" w:ascii="黑体" w:hAnsi="黑体" w:eastAsia="黑体" w:cs="宋体"/>
          <w:sz w:val="32"/>
          <w:szCs w:val="32"/>
        </w:rPr>
        <w:t>★七、样品提交要求</w:t>
      </w:r>
    </w:p>
    <w:p w14:paraId="2CB56E5B">
      <w:pPr>
        <w:ind w:firstLine="707" w:firstLineChars="221"/>
        <w:rPr>
          <w:rFonts w:ascii="仿宋" w:hAnsi="仿宋" w:eastAsia="仿宋" w:cs="宋体"/>
          <w:sz w:val="32"/>
          <w:szCs w:val="32"/>
        </w:rPr>
      </w:pPr>
      <w:r>
        <w:rPr>
          <w:rFonts w:hint="eastAsia" w:ascii="仿宋" w:hAnsi="仿宋" w:eastAsia="仿宋" w:cs="宋体"/>
          <w:sz w:val="32"/>
          <w:szCs w:val="32"/>
        </w:rPr>
        <w:t>1</w:t>
      </w:r>
      <w:r>
        <w:rPr>
          <w:rFonts w:ascii="仿宋" w:hAnsi="仿宋" w:eastAsia="仿宋" w:cs="宋体"/>
          <w:sz w:val="32"/>
          <w:szCs w:val="32"/>
        </w:rPr>
        <w:t>.</w:t>
      </w:r>
      <w:r>
        <w:rPr>
          <w:rFonts w:hint="eastAsia" w:ascii="仿宋" w:hAnsi="仿宋" w:eastAsia="仿宋" w:cs="宋体"/>
          <w:sz w:val="32"/>
          <w:szCs w:val="32"/>
        </w:rPr>
        <w:t>提交时间及数量：开评审会议当天交到采购人处（具体以采购人通知为准），至少2份。</w:t>
      </w:r>
    </w:p>
    <w:p w14:paraId="1ECF94FE">
      <w:pPr>
        <w:ind w:firstLine="707" w:firstLineChars="221"/>
        <w:rPr>
          <w:rFonts w:ascii="仿宋" w:hAnsi="仿宋" w:eastAsia="仿宋" w:cs="宋体"/>
          <w:sz w:val="32"/>
          <w:szCs w:val="32"/>
        </w:rPr>
      </w:pPr>
      <w:r>
        <w:rPr>
          <w:rFonts w:hint="eastAsia" w:ascii="仿宋" w:hAnsi="仿宋" w:eastAsia="仿宋" w:cs="宋体"/>
          <w:sz w:val="32"/>
          <w:szCs w:val="32"/>
        </w:rPr>
        <w:t>2</w:t>
      </w:r>
      <w:r>
        <w:rPr>
          <w:rFonts w:ascii="仿宋" w:hAnsi="仿宋" w:eastAsia="仿宋" w:cs="宋体"/>
          <w:sz w:val="32"/>
          <w:szCs w:val="32"/>
        </w:rPr>
        <w:t>.</w:t>
      </w:r>
      <w:r>
        <w:rPr>
          <w:rFonts w:hint="eastAsia" w:ascii="仿宋" w:hAnsi="仿宋" w:eastAsia="仿宋" w:cs="宋体"/>
          <w:sz w:val="32"/>
          <w:szCs w:val="32"/>
        </w:rPr>
        <w:t>样品盲样处理要求：所有供应商提交的样品以及包装需去除品牌、logo、生产厂家等标识，不作盲样处理的将按无效投标处理。</w:t>
      </w:r>
    </w:p>
    <w:p w14:paraId="4BB868CD">
      <w:pPr>
        <w:ind w:firstLine="707" w:firstLineChars="221"/>
        <w:rPr>
          <w:rFonts w:ascii="仿宋" w:hAnsi="仿宋" w:eastAsia="仿宋" w:cs="宋体"/>
          <w:sz w:val="32"/>
          <w:szCs w:val="32"/>
        </w:rPr>
      </w:pPr>
      <w:r>
        <w:rPr>
          <w:rFonts w:hint="eastAsia" w:ascii="仿宋" w:hAnsi="仿宋" w:eastAsia="仿宋" w:cs="宋体"/>
          <w:sz w:val="32"/>
          <w:szCs w:val="32"/>
        </w:rPr>
        <w:t>3</w:t>
      </w:r>
      <w:r>
        <w:rPr>
          <w:rFonts w:ascii="仿宋" w:hAnsi="仿宋" w:eastAsia="仿宋" w:cs="宋体"/>
          <w:sz w:val="32"/>
          <w:szCs w:val="32"/>
        </w:rPr>
        <w:t>.</w:t>
      </w:r>
      <w:r>
        <w:rPr>
          <w:rFonts w:hint="eastAsia" w:ascii="仿宋" w:hAnsi="仿宋" w:eastAsia="仿宋" w:cs="宋体"/>
          <w:sz w:val="32"/>
          <w:szCs w:val="32"/>
        </w:rPr>
        <w:t>所有供应商提交的样品必须是与所供货品一致的同规格同品质的当期生产的新鲜货品。提供承诺函，格式自拟。</w:t>
      </w:r>
    </w:p>
    <w:p w14:paraId="406068C1">
      <w:pPr>
        <w:ind w:firstLine="707" w:firstLineChars="221"/>
        <w:rPr>
          <w:rFonts w:ascii="仿宋" w:hAnsi="仿宋" w:eastAsia="仿宋" w:cs="宋体"/>
          <w:color w:val="FF0000"/>
          <w:sz w:val="32"/>
          <w:szCs w:val="32"/>
        </w:rPr>
      </w:pPr>
    </w:p>
    <w:p w14:paraId="5A645FAE">
      <w:pPr>
        <w:ind w:firstLine="707" w:firstLineChars="221"/>
        <w:rPr>
          <w:rFonts w:ascii="黑体" w:hAnsi="黑体" w:eastAsia="黑体" w:cs="宋体"/>
          <w:sz w:val="32"/>
          <w:szCs w:val="32"/>
        </w:rPr>
      </w:pPr>
      <w:r>
        <w:rPr>
          <w:rFonts w:hint="eastAsia" w:ascii="黑体" w:hAnsi="黑体" w:eastAsia="黑体" w:cs="宋体"/>
          <w:sz w:val="32"/>
          <w:szCs w:val="32"/>
        </w:rPr>
        <w:t>八、遴选规则说明</w:t>
      </w:r>
    </w:p>
    <w:p w14:paraId="5C3E99F5">
      <w:pPr>
        <w:ind w:firstLine="707" w:firstLineChars="221"/>
        <w:rPr>
          <w:rFonts w:ascii="仿宋" w:hAnsi="仿宋" w:eastAsia="仿宋" w:cs="宋体"/>
          <w:color w:val="FF0000"/>
          <w:sz w:val="32"/>
          <w:szCs w:val="32"/>
          <w:highlight w:val="yellow"/>
        </w:rPr>
      </w:pPr>
      <w:r>
        <w:rPr>
          <w:rFonts w:ascii="仿宋" w:hAnsi="仿宋" w:eastAsia="仿宋" w:cs="宋体"/>
          <w:sz w:val="32"/>
          <w:szCs w:val="32"/>
        </w:rPr>
        <w:t>1.</w:t>
      </w:r>
      <w:r>
        <w:rPr>
          <w:rFonts w:hint="eastAsia" w:ascii="仿宋" w:hAnsi="仿宋" w:eastAsia="仿宋" w:cs="宋体"/>
          <w:sz w:val="32"/>
          <w:szCs w:val="32"/>
        </w:rPr>
        <w:t>遴选小组先开展资格符合性审查，资格审查合格后方进入综合评分环节。</w:t>
      </w:r>
    </w:p>
    <w:p w14:paraId="3C64B952">
      <w:pPr>
        <w:ind w:firstLine="707" w:firstLineChars="221"/>
        <w:rPr>
          <w:rFonts w:ascii="仿宋" w:hAnsi="仿宋" w:eastAsia="仿宋" w:cs="宋体"/>
          <w:sz w:val="32"/>
          <w:szCs w:val="32"/>
        </w:rPr>
      </w:pPr>
      <w:r>
        <w:rPr>
          <w:rFonts w:hint="eastAsia" w:ascii="仿宋" w:hAnsi="仿宋" w:eastAsia="仿宋" w:cs="宋体"/>
          <w:sz w:val="32"/>
          <w:szCs w:val="32"/>
        </w:rPr>
        <w:t>2.本次遴选采用盲样评审，由采购方对供应商提交的盲样统一编号后开展评审，评审人员不得知晓样品对应的供应商信息，全程盲评打分。</w:t>
      </w:r>
    </w:p>
    <w:p w14:paraId="708045DD">
      <w:pPr>
        <w:ind w:firstLine="707" w:firstLineChars="221"/>
        <w:rPr>
          <w:rFonts w:ascii="仿宋" w:hAnsi="仿宋" w:eastAsia="仿宋" w:cs="宋体"/>
          <w:sz w:val="32"/>
          <w:szCs w:val="32"/>
        </w:rPr>
      </w:pPr>
      <w:r>
        <w:rPr>
          <w:rFonts w:hint="eastAsia" w:ascii="仿宋" w:hAnsi="仿宋" w:eastAsia="仿宋" w:cs="宋体"/>
          <w:sz w:val="32"/>
          <w:szCs w:val="32"/>
        </w:rPr>
        <w:t>3.主要从样品实物指标（单枚克重、总克重、口味种类、礼盒配置及产品标识完整规范等）、</w:t>
      </w:r>
      <w:r>
        <w:rPr>
          <w:rFonts w:ascii="Calibri" w:hAnsi="Calibri" w:eastAsia="仿宋" w:cs="Calibri"/>
          <w:sz w:val="32"/>
          <w:szCs w:val="32"/>
        </w:rPr>
        <w:t> </w:t>
      </w:r>
      <w:r>
        <w:rPr>
          <w:rFonts w:hint="eastAsia" w:ascii="仿宋" w:hAnsi="仿宋" w:eastAsia="仿宋" w:cs="宋体"/>
          <w:sz w:val="32"/>
          <w:szCs w:val="32"/>
        </w:rPr>
        <w:t>样品感官品鉴（盲样试吃，从月饼口感、馅料品质、风味、新鲜度等）、服务方案、同类项目业绩</w:t>
      </w:r>
      <w:r>
        <w:rPr>
          <w:rFonts w:hint="eastAsia" w:ascii="仿宋" w:hAnsi="仿宋" w:eastAsia="仿宋" w:cs="宋体"/>
          <w:sz w:val="32"/>
          <w:szCs w:val="32"/>
          <w:lang w:eastAsia="zh-CN"/>
        </w:rPr>
        <w:t>、</w:t>
      </w:r>
      <w:bookmarkStart w:id="0" w:name="_GoBack"/>
      <w:bookmarkEnd w:id="0"/>
      <w:r>
        <w:rPr>
          <w:rFonts w:hint="eastAsia" w:ascii="仿宋" w:hAnsi="仿宋" w:eastAsia="仿宋" w:cs="宋体"/>
          <w:sz w:val="32"/>
          <w:szCs w:val="32"/>
        </w:rPr>
        <w:t>第三方检测报告等纬度进行综合评价打分。</w:t>
      </w:r>
    </w:p>
    <w:p w14:paraId="5CF6D3D7">
      <w:pPr>
        <w:ind w:firstLine="707" w:firstLineChars="221"/>
        <w:rPr>
          <w:rFonts w:ascii="仿宋" w:hAnsi="仿宋" w:eastAsia="仿宋" w:cs="宋体"/>
          <w:sz w:val="32"/>
          <w:szCs w:val="32"/>
        </w:rPr>
      </w:pPr>
      <w:r>
        <w:rPr>
          <w:rFonts w:hint="eastAsia" w:ascii="仿宋" w:hAnsi="仿宋" w:eastAsia="仿宋" w:cs="宋体"/>
          <w:sz w:val="32"/>
          <w:szCs w:val="32"/>
        </w:rPr>
        <w:t>4.按综合得分从高到低排序，综合得分排名第一的为预中选供应商； 若综合得分相同，以样品质量得分高者优先；得分且样品质量得分均相同的，由评审小组集体商议确定。</w:t>
      </w:r>
    </w:p>
    <w:p w14:paraId="2BAF4D04">
      <w:pPr>
        <w:ind w:firstLine="707" w:firstLineChars="221"/>
        <w:rPr>
          <w:rFonts w:ascii="仿宋" w:hAnsi="仿宋" w:eastAsia="仿宋" w:cs="宋体"/>
          <w:sz w:val="32"/>
          <w:szCs w:val="32"/>
        </w:rPr>
      </w:pPr>
    </w:p>
    <w:p w14:paraId="03BCE67B">
      <w:pPr>
        <w:ind w:firstLine="707" w:firstLineChars="221"/>
        <w:rPr>
          <w:rFonts w:ascii="黑体" w:hAnsi="黑体" w:eastAsia="黑体" w:cs="宋体"/>
          <w:sz w:val="32"/>
          <w:szCs w:val="32"/>
        </w:rPr>
      </w:pPr>
      <w:r>
        <w:rPr>
          <w:rFonts w:hint="eastAsia" w:ascii="黑体" w:hAnsi="黑体" w:eastAsia="黑体" w:cs="宋体"/>
          <w:sz w:val="32"/>
          <w:szCs w:val="32"/>
        </w:rPr>
        <w:t>九、结算方式</w:t>
      </w:r>
    </w:p>
    <w:p w14:paraId="73155B20">
      <w:pPr>
        <w:ind w:firstLine="707" w:firstLineChars="221"/>
        <w:rPr>
          <w:rFonts w:ascii="仿宋" w:hAnsi="仿宋" w:eastAsia="仿宋" w:cs="宋体"/>
          <w:sz w:val="32"/>
          <w:szCs w:val="32"/>
        </w:rPr>
      </w:pPr>
      <w:r>
        <w:rPr>
          <w:rFonts w:hint="eastAsia" w:ascii="仿宋" w:hAnsi="仿宋" w:eastAsia="仿宋" w:cs="宋体"/>
          <w:sz w:val="32"/>
          <w:szCs w:val="32"/>
        </w:rPr>
        <w:t>全部货物交付完成、验收合格后，按照固定单价60元/份统一结算，凭合规有效发票办理结算手续。</w:t>
      </w:r>
    </w:p>
    <w:p w14:paraId="33859ACC">
      <w:pPr>
        <w:ind w:firstLine="707" w:firstLineChars="221"/>
        <w:rPr>
          <w:rFonts w:ascii="仿宋" w:hAnsi="仿宋" w:eastAsia="仿宋" w:cs="宋体"/>
          <w:sz w:val="32"/>
          <w:szCs w:val="32"/>
        </w:rPr>
      </w:pPr>
      <w:r>
        <w:rPr>
          <w:rFonts w:hint="eastAsia" w:ascii="仿宋" w:hAnsi="仿宋" w:eastAsia="仿宋" w:cs="宋体"/>
          <w:sz w:val="32"/>
          <w:szCs w:val="32"/>
        </w:rPr>
        <w:t xml:space="preserve"> </w:t>
      </w:r>
    </w:p>
    <w:p w14:paraId="0CE16A43">
      <w:pPr>
        <w:ind w:firstLine="707" w:firstLineChars="221"/>
        <w:rPr>
          <w:rFonts w:ascii="黑体" w:hAnsi="黑体" w:eastAsia="黑体" w:cs="宋体"/>
          <w:sz w:val="32"/>
          <w:szCs w:val="32"/>
        </w:rPr>
      </w:pPr>
      <w:r>
        <w:rPr>
          <w:rFonts w:hint="eastAsia" w:ascii="黑体" w:hAnsi="黑体" w:eastAsia="黑体" w:cs="宋体"/>
          <w:sz w:val="32"/>
          <w:szCs w:val="32"/>
        </w:rPr>
        <w:t>十、其他说明</w:t>
      </w:r>
    </w:p>
    <w:p w14:paraId="1A7CB60C">
      <w:pPr>
        <w:ind w:firstLine="707" w:firstLineChars="221"/>
        <w:rPr>
          <w:rFonts w:ascii="仿宋" w:hAnsi="仿宋" w:eastAsia="仿宋" w:cs="宋体"/>
          <w:sz w:val="32"/>
          <w:szCs w:val="32"/>
        </w:rPr>
      </w:pPr>
      <w:r>
        <w:rPr>
          <w:rFonts w:hint="eastAsia" w:ascii="仿宋" w:hAnsi="仿宋" w:eastAsia="仿宋" w:cs="宋体"/>
          <w:sz w:val="32"/>
          <w:szCs w:val="32"/>
        </w:rPr>
        <w:t>1.供应商一旦参与本次遴选，即视为完全认可本固定单价、全部采购要求及履约条款；</w:t>
      </w:r>
    </w:p>
    <w:p w14:paraId="1661E403">
      <w:pPr>
        <w:ind w:firstLine="707" w:firstLineChars="221"/>
        <w:rPr>
          <w:rFonts w:ascii="仿宋" w:hAnsi="仿宋" w:eastAsia="仿宋" w:cs="宋体"/>
          <w:sz w:val="32"/>
          <w:szCs w:val="32"/>
        </w:rPr>
      </w:pPr>
      <w:r>
        <w:rPr>
          <w:rFonts w:hint="eastAsia" w:ascii="仿宋" w:hAnsi="仿宋" w:eastAsia="仿宋" w:cs="宋体"/>
          <w:sz w:val="32"/>
          <w:szCs w:val="32"/>
        </w:rPr>
        <w:t>2.中选供应商须严格履约，保证产品品质、包装、规格与送审样品一致，否则采购人有权终止合同、追究违约责任；</w:t>
      </w:r>
    </w:p>
    <w:p w14:paraId="201D1A4F">
      <w:pPr>
        <w:ind w:firstLine="707" w:firstLineChars="221"/>
        <w:rPr>
          <w:rFonts w:ascii="仿宋" w:hAnsi="仿宋" w:eastAsia="仿宋" w:cs="宋体"/>
          <w:sz w:val="32"/>
          <w:szCs w:val="32"/>
        </w:rPr>
      </w:pPr>
      <w:r>
        <w:rPr>
          <w:rFonts w:hint="eastAsia" w:ascii="仿宋" w:hAnsi="仿宋" w:eastAsia="仿宋" w:cs="宋体"/>
          <w:sz w:val="32"/>
          <w:szCs w:val="32"/>
        </w:rPr>
        <w:t>3.</w:t>
      </w:r>
      <w:r>
        <w:rPr>
          <w:rFonts w:ascii="Calibri" w:hAnsi="Calibri" w:eastAsia="仿宋" w:cs="Calibri"/>
          <w:sz w:val="32"/>
          <w:szCs w:val="32"/>
        </w:rPr>
        <w:t> </w:t>
      </w:r>
      <w:r>
        <w:rPr>
          <w:rFonts w:hint="eastAsia" w:ascii="仿宋" w:hAnsi="仿宋" w:eastAsia="仿宋" w:cs="宋体"/>
          <w:sz w:val="32"/>
          <w:szCs w:val="32"/>
        </w:rPr>
        <w:t>中选供应商供货产品与盲样样品不一致，出现换款、换料、降级、更换包装等情形的，采购人有权取消其中选资格、终止合作、不予结算，并追究相应违约责任。</w:t>
      </w:r>
    </w:p>
    <w:p w14:paraId="44A04292">
      <w:pPr>
        <w:ind w:firstLine="707" w:firstLineChars="221"/>
        <w:rPr>
          <w:rFonts w:ascii="黑体" w:hAnsi="黑体" w:eastAsia="黑体"/>
          <w:sz w:val="32"/>
          <w:szCs w:val="32"/>
        </w:rPr>
      </w:pPr>
    </w:p>
    <w:p w14:paraId="44765545">
      <w:pPr>
        <w:ind w:firstLine="707" w:firstLineChars="221"/>
        <w:rPr>
          <w:rFonts w:ascii="黑体" w:hAnsi="黑体" w:eastAsia="黑体"/>
          <w:sz w:val="32"/>
          <w:szCs w:val="32"/>
        </w:rPr>
      </w:pPr>
      <w:r>
        <w:rPr>
          <w:rFonts w:hint="eastAsia" w:ascii="黑体" w:hAnsi="黑体" w:eastAsia="黑体"/>
          <w:sz w:val="32"/>
          <w:szCs w:val="32"/>
        </w:rPr>
        <w:t>十一、论证小组意见：</w:t>
      </w:r>
    </w:p>
    <w:p w14:paraId="503CCB9C">
      <w:pPr>
        <w:ind w:firstLine="707" w:firstLineChars="221"/>
        <w:rPr>
          <w:rFonts w:ascii="仿宋" w:hAnsi="仿宋" w:eastAsia="仿宋" w:cs="宋体"/>
          <w:sz w:val="32"/>
          <w:szCs w:val="32"/>
        </w:rPr>
      </w:pPr>
      <w:r>
        <w:rPr>
          <w:rFonts w:hint="eastAsia" w:ascii="仿宋" w:hAnsi="仿宋" w:eastAsia="仿宋" w:cs="宋体"/>
          <w:sz w:val="32"/>
          <w:szCs w:val="32"/>
        </w:rPr>
        <w:t>于</w:t>
      </w:r>
      <w:r>
        <w:rPr>
          <w:rFonts w:ascii="仿宋" w:hAnsi="仿宋" w:eastAsia="仿宋" w:cs="宋体"/>
          <w:sz w:val="32"/>
          <w:szCs w:val="32"/>
        </w:rPr>
        <w:t xml:space="preserve">  年  月  日，经组织论证小组讨论后，论证小组成员一致同意以上需求书内容。</w:t>
      </w:r>
    </w:p>
    <w:p w14:paraId="344EF1E0">
      <w:pPr>
        <w:ind w:firstLine="707" w:firstLineChars="221"/>
        <w:rPr>
          <w:rFonts w:ascii="黑体" w:hAnsi="黑体" w:eastAsia="黑体"/>
          <w:sz w:val="32"/>
          <w:szCs w:val="32"/>
        </w:rPr>
      </w:pPr>
      <w:r>
        <w:rPr>
          <w:rFonts w:hint="eastAsia" w:ascii="黑体" w:hAnsi="黑体" w:eastAsia="黑体"/>
          <w:sz w:val="32"/>
          <w:szCs w:val="32"/>
        </w:rPr>
        <w:t>十二、论证小组成员（签名）：</w:t>
      </w:r>
    </w:p>
    <w:tbl>
      <w:tblPr>
        <w:tblStyle w:val="4"/>
        <w:tblW w:w="9776" w:type="dxa"/>
        <w:jc w:val="center"/>
        <w:tblLayout w:type="fixed"/>
        <w:tblCellMar>
          <w:top w:w="0" w:type="dxa"/>
          <w:left w:w="108" w:type="dxa"/>
          <w:bottom w:w="0" w:type="dxa"/>
          <w:right w:w="108" w:type="dxa"/>
        </w:tblCellMar>
      </w:tblPr>
      <w:tblGrid>
        <w:gridCol w:w="2590"/>
        <w:gridCol w:w="1941"/>
        <w:gridCol w:w="2835"/>
        <w:gridCol w:w="2410"/>
      </w:tblGrid>
      <w:tr w14:paraId="65EFBB5C">
        <w:tblPrEx>
          <w:tblCellMar>
            <w:top w:w="0" w:type="dxa"/>
            <w:left w:w="108" w:type="dxa"/>
            <w:bottom w:w="0" w:type="dxa"/>
            <w:right w:w="108" w:type="dxa"/>
          </w:tblCellMar>
        </w:tblPrEx>
        <w:trPr>
          <w:trHeight w:val="865" w:hRule="atLeast"/>
          <w:jc w:val="center"/>
        </w:trPr>
        <w:tc>
          <w:tcPr>
            <w:tcW w:w="2590" w:type="dxa"/>
            <w:tcBorders>
              <w:top w:val="single" w:color="000000" w:sz="4" w:space="0"/>
              <w:left w:val="single" w:color="000000" w:sz="4" w:space="0"/>
              <w:bottom w:val="single" w:color="000000" w:sz="4" w:space="0"/>
              <w:right w:val="single" w:color="000000" w:sz="4" w:space="0"/>
            </w:tcBorders>
            <w:noWrap/>
            <w:vAlign w:val="center"/>
          </w:tcPr>
          <w:p w14:paraId="53A1FB36">
            <w:pPr>
              <w:widowControl/>
              <w:spacing w:line="360" w:lineRule="auto"/>
              <w:jc w:val="center"/>
              <w:textAlignment w:val="center"/>
              <w:rPr>
                <w:rFonts w:ascii="楷体" w:hAnsi="楷体" w:eastAsia="楷体" w:cs="宋体"/>
                <w:bCs/>
                <w:color w:val="000000"/>
                <w:sz w:val="32"/>
                <w:szCs w:val="32"/>
              </w:rPr>
            </w:pPr>
            <w:r>
              <w:rPr>
                <w:rFonts w:hint="eastAsia" w:ascii="楷体" w:hAnsi="楷体" w:eastAsia="楷体" w:cs="宋体"/>
                <w:bCs/>
                <w:color w:val="000000"/>
                <w:kern w:val="0"/>
                <w:sz w:val="32"/>
                <w:szCs w:val="32"/>
                <w:lang w:bidi="ar"/>
              </w:rPr>
              <w:t>参与论证科室</w:t>
            </w:r>
          </w:p>
        </w:tc>
        <w:tc>
          <w:tcPr>
            <w:tcW w:w="1941" w:type="dxa"/>
            <w:tcBorders>
              <w:top w:val="single" w:color="000000" w:sz="4" w:space="0"/>
              <w:left w:val="single" w:color="000000" w:sz="4" w:space="0"/>
              <w:bottom w:val="single" w:color="000000" w:sz="4" w:space="0"/>
              <w:right w:val="single" w:color="000000" w:sz="4" w:space="0"/>
            </w:tcBorders>
            <w:noWrap/>
            <w:vAlign w:val="center"/>
          </w:tcPr>
          <w:p w14:paraId="082F227C">
            <w:pPr>
              <w:widowControl/>
              <w:spacing w:line="360" w:lineRule="auto"/>
              <w:jc w:val="center"/>
              <w:textAlignment w:val="center"/>
              <w:rPr>
                <w:rFonts w:ascii="楷体" w:hAnsi="楷体" w:eastAsia="楷体" w:cs="宋体"/>
                <w:bCs/>
                <w:color w:val="000000"/>
                <w:sz w:val="32"/>
                <w:szCs w:val="32"/>
              </w:rPr>
            </w:pPr>
            <w:r>
              <w:rPr>
                <w:rFonts w:hint="eastAsia" w:ascii="楷体" w:hAnsi="楷体" w:eastAsia="楷体" w:cs="宋体"/>
                <w:bCs/>
                <w:color w:val="000000"/>
                <w:sz w:val="32"/>
                <w:szCs w:val="32"/>
              </w:rPr>
              <w:t>工会</w:t>
            </w:r>
          </w:p>
        </w:tc>
        <w:tc>
          <w:tcPr>
            <w:tcW w:w="2835" w:type="dxa"/>
            <w:tcBorders>
              <w:top w:val="single" w:color="000000" w:sz="4" w:space="0"/>
              <w:left w:val="single" w:color="000000" w:sz="4" w:space="0"/>
              <w:bottom w:val="single" w:color="000000" w:sz="4" w:space="0"/>
              <w:right w:val="single" w:color="000000" w:sz="4" w:space="0"/>
            </w:tcBorders>
            <w:noWrap/>
            <w:vAlign w:val="center"/>
          </w:tcPr>
          <w:p w14:paraId="134A96B0">
            <w:pPr>
              <w:widowControl/>
              <w:spacing w:line="360" w:lineRule="auto"/>
              <w:jc w:val="center"/>
              <w:textAlignment w:val="center"/>
              <w:rPr>
                <w:rFonts w:ascii="楷体" w:hAnsi="楷体" w:eastAsia="楷体" w:cs="宋体"/>
                <w:bCs/>
                <w:color w:val="000000"/>
                <w:sz w:val="32"/>
                <w:szCs w:val="32"/>
              </w:rPr>
            </w:pPr>
            <w:r>
              <w:rPr>
                <w:rFonts w:hint="eastAsia" w:ascii="楷体" w:hAnsi="楷体" w:eastAsia="楷体" w:cs="宋体"/>
                <w:bCs/>
                <w:color w:val="000000"/>
                <w:sz w:val="32"/>
                <w:szCs w:val="32"/>
              </w:rPr>
              <w:t>综合服务科</w:t>
            </w:r>
          </w:p>
        </w:tc>
        <w:tc>
          <w:tcPr>
            <w:tcW w:w="2410" w:type="dxa"/>
            <w:tcBorders>
              <w:top w:val="single" w:color="000000" w:sz="4" w:space="0"/>
              <w:left w:val="single" w:color="000000" w:sz="4" w:space="0"/>
              <w:bottom w:val="single" w:color="000000" w:sz="4" w:space="0"/>
              <w:right w:val="single" w:color="000000" w:sz="4" w:space="0"/>
            </w:tcBorders>
            <w:noWrap/>
            <w:vAlign w:val="center"/>
          </w:tcPr>
          <w:p w14:paraId="2F8394C9">
            <w:pPr>
              <w:widowControl/>
              <w:spacing w:line="360" w:lineRule="auto"/>
              <w:jc w:val="center"/>
              <w:textAlignment w:val="center"/>
              <w:rPr>
                <w:rFonts w:ascii="楷体" w:hAnsi="楷体" w:eastAsia="楷体" w:cs="宋体"/>
                <w:bCs/>
                <w:color w:val="000000"/>
                <w:sz w:val="32"/>
                <w:szCs w:val="32"/>
              </w:rPr>
            </w:pPr>
            <w:r>
              <w:rPr>
                <w:rFonts w:hint="eastAsia" w:ascii="楷体" w:hAnsi="楷体" w:eastAsia="楷体" w:cs="宋体"/>
                <w:bCs/>
                <w:color w:val="000000"/>
                <w:sz w:val="32"/>
                <w:szCs w:val="32"/>
              </w:rPr>
              <w:t>膳食科</w:t>
            </w:r>
          </w:p>
        </w:tc>
      </w:tr>
      <w:tr w14:paraId="5C8A228C">
        <w:tblPrEx>
          <w:tblCellMar>
            <w:top w:w="0" w:type="dxa"/>
            <w:left w:w="108" w:type="dxa"/>
            <w:bottom w:w="0" w:type="dxa"/>
            <w:right w:w="108" w:type="dxa"/>
          </w:tblCellMar>
        </w:tblPrEx>
        <w:trPr>
          <w:trHeight w:val="786" w:hRule="atLeast"/>
          <w:jc w:val="center"/>
        </w:trPr>
        <w:tc>
          <w:tcPr>
            <w:tcW w:w="2590" w:type="dxa"/>
            <w:tcBorders>
              <w:top w:val="single" w:color="000000" w:sz="4" w:space="0"/>
              <w:left w:val="single" w:color="000000" w:sz="4" w:space="0"/>
              <w:bottom w:val="single" w:color="000000" w:sz="4" w:space="0"/>
              <w:right w:val="single" w:color="000000" w:sz="4" w:space="0"/>
            </w:tcBorders>
            <w:noWrap/>
            <w:vAlign w:val="center"/>
          </w:tcPr>
          <w:p w14:paraId="38F3982E">
            <w:pPr>
              <w:widowControl/>
              <w:spacing w:line="360" w:lineRule="auto"/>
              <w:jc w:val="center"/>
              <w:textAlignment w:val="center"/>
              <w:rPr>
                <w:rFonts w:ascii="楷体" w:hAnsi="楷体" w:eastAsia="楷体" w:cs="宋体"/>
                <w:color w:val="000000"/>
                <w:sz w:val="32"/>
                <w:szCs w:val="32"/>
              </w:rPr>
            </w:pPr>
            <w:r>
              <w:rPr>
                <w:rFonts w:hint="eastAsia" w:ascii="楷体" w:hAnsi="楷体" w:eastAsia="楷体" w:cs="宋体"/>
                <w:bCs/>
                <w:color w:val="000000"/>
                <w:kern w:val="0"/>
                <w:sz w:val="32"/>
                <w:szCs w:val="32"/>
                <w:lang w:bidi="ar"/>
              </w:rPr>
              <w:t>论证成员</w:t>
            </w:r>
          </w:p>
        </w:tc>
        <w:tc>
          <w:tcPr>
            <w:tcW w:w="1941" w:type="dxa"/>
            <w:tcBorders>
              <w:top w:val="single" w:color="000000" w:sz="4" w:space="0"/>
              <w:left w:val="single" w:color="000000" w:sz="4" w:space="0"/>
              <w:bottom w:val="single" w:color="000000" w:sz="4" w:space="0"/>
              <w:right w:val="single" w:color="000000" w:sz="4" w:space="0"/>
            </w:tcBorders>
            <w:noWrap/>
            <w:vAlign w:val="center"/>
          </w:tcPr>
          <w:p w14:paraId="7421FBCB">
            <w:pPr>
              <w:spacing w:line="360" w:lineRule="auto"/>
              <w:jc w:val="center"/>
              <w:rPr>
                <w:rFonts w:ascii="楷体" w:hAnsi="楷体" w:eastAsia="楷体" w:cs="宋体"/>
                <w:color w:val="000000"/>
                <w:sz w:val="32"/>
                <w:szCs w:val="32"/>
              </w:rPr>
            </w:pPr>
          </w:p>
        </w:tc>
        <w:tc>
          <w:tcPr>
            <w:tcW w:w="2835" w:type="dxa"/>
            <w:tcBorders>
              <w:top w:val="single" w:color="000000" w:sz="4" w:space="0"/>
              <w:left w:val="single" w:color="000000" w:sz="4" w:space="0"/>
              <w:bottom w:val="single" w:color="000000" w:sz="4" w:space="0"/>
              <w:right w:val="single" w:color="000000" w:sz="4" w:space="0"/>
            </w:tcBorders>
            <w:noWrap/>
            <w:vAlign w:val="center"/>
          </w:tcPr>
          <w:p w14:paraId="56C587D7">
            <w:pPr>
              <w:spacing w:line="360" w:lineRule="auto"/>
              <w:jc w:val="center"/>
              <w:rPr>
                <w:rFonts w:ascii="楷体" w:hAnsi="楷体" w:eastAsia="楷体" w:cs="宋体"/>
                <w:color w:val="000000"/>
                <w:sz w:val="32"/>
                <w:szCs w:val="32"/>
              </w:rPr>
            </w:pPr>
          </w:p>
        </w:tc>
        <w:tc>
          <w:tcPr>
            <w:tcW w:w="2410" w:type="dxa"/>
            <w:tcBorders>
              <w:top w:val="single" w:color="000000" w:sz="4" w:space="0"/>
              <w:left w:val="single" w:color="000000" w:sz="4" w:space="0"/>
              <w:bottom w:val="single" w:color="000000" w:sz="4" w:space="0"/>
              <w:right w:val="single" w:color="000000" w:sz="4" w:space="0"/>
            </w:tcBorders>
            <w:noWrap/>
            <w:vAlign w:val="center"/>
          </w:tcPr>
          <w:p w14:paraId="72F92EED">
            <w:pPr>
              <w:spacing w:line="360" w:lineRule="auto"/>
              <w:jc w:val="center"/>
              <w:rPr>
                <w:rFonts w:ascii="楷体" w:hAnsi="楷体" w:eastAsia="楷体" w:cs="宋体"/>
                <w:color w:val="000000"/>
                <w:sz w:val="32"/>
                <w:szCs w:val="32"/>
              </w:rPr>
            </w:pPr>
          </w:p>
        </w:tc>
      </w:tr>
    </w:tbl>
    <w:p w14:paraId="50C794D7">
      <w:pPr>
        <w:ind w:firstLine="707" w:firstLineChars="221"/>
        <w:rPr>
          <w:rFonts w:ascii="仿宋" w:hAnsi="仿宋" w:eastAsia="仿宋"/>
          <w:sz w:val="32"/>
          <w:szCs w:val="32"/>
        </w:rPr>
      </w:pPr>
      <w:r>
        <w:rPr>
          <w:rFonts w:hint="eastAsia" w:ascii="黑体" w:hAnsi="黑体" w:eastAsia="黑体"/>
          <w:sz w:val="32"/>
          <w:szCs w:val="32"/>
        </w:rPr>
        <w:t>十三、业务归口管理部门经办人（签名）：</w:t>
      </w:r>
    </w:p>
    <w:p w14:paraId="13A5E04A">
      <w:pPr>
        <w:ind w:firstLine="707" w:firstLineChars="221"/>
        <w:rPr>
          <w:rFonts w:ascii="黑体" w:hAnsi="黑体" w:eastAsia="黑体"/>
          <w:sz w:val="32"/>
          <w:szCs w:val="32"/>
        </w:rPr>
      </w:pPr>
      <w:r>
        <w:rPr>
          <w:rFonts w:hint="eastAsia" w:ascii="黑体" w:hAnsi="黑体" w:eastAsia="黑体"/>
          <w:sz w:val="32"/>
          <w:szCs w:val="32"/>
        </w:rPr>
        <w:t>十四、业务归口管理部门负责人（签名）：</w:t>
      </w:r>
    </w:p>
    <w:p w14:paraId="1147D315">
      <w:pPr>
        <w:rPr>
          <w:rFonts w:ascii="仿宋" w:hAnsi="仿宋" w:eastAsia="仿宋" w:cs="宋体"/>
          <w:sz w:val="32"/>
          <w:szCs w:val="32"/>
        </w:rPr>
      </w:pPr>
    </w:p>
    <w:sectPr>
      <w:footerReference r:id="rId3" w:type="default"/>
      <w:footerReference r:id="rId4" w:type="even"/>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31881617"/>
    </w:sdtPr>
    <w:sdtEndPr>
      <w:rPr>
        <w:rFonts w:ascii="宋体" w:hAnsi="宋体" w:eastAsia="宋体"/>
        <w:sz w:val="28"/>
        <w:szCs w:val="28"/>
      </w:rPr>
    </w:sdtEndPr>
    <w:sdtContent>
      <w:p w14:paraId="6425052C">
        <w:pPr>
          <w:pStyle w:val="2"/>
          <w:ind w:right="338" w:rightChars="161"/>
          <w:jc w:val="right"/>
          <w:rPr>
            <w:rFonts w:ascii="宋体" w:hAnsi="宋体" w:eastAsia="宋体"/>
            <w:sz w:val="28"/>
            <w:szCs w:val="28"/>
          </w:rPr>
        </w:pPr>
        <w:r>
          <w:rPr>
            <w:rFonts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7</w:t>
        </w:r>
        <w:r>
          <w:rPr>
            <w:rFonts w:ascii="宋体" w:hAnsi="宋体" w:eastAsia="宋体"/>
            <w:sz w:val="28"/>
            <w:szCs w:val="28"/>
          </w:rPr>
          <w:fldChar w:fldCharType="end"/>
        </w:r>
        <w:r>
          <w:rPr>
            <w:rFonts w:ascii="宋体" w:hAnsi="宋体" w:eastAsia="宋体"/>
            <w:sz w:val="28"/>
            <w:szCs w:val="28"/>
          </w:rPr>
          <w:t>-</w:t>
        </w:r>
      </w:p>
    </w:sdtContent>
  </w:sdt>
  <w:p w14:paraId="4FC5852D">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23714122"/>
    </w:sdtPr>
    <w:sdtEndPr>
      <w:rPr>
        <w:rFonts w:ascii="宋体" w:hAnsi="宋体" w:eastAsia="宋体"/>
        <w:sz w:val="28"/>
        <w:szCs w:val="28"/>
      </w:rPr>
    </w:sdtEndPr>
    <w:sdtContent>
      <w:p w14:paraId="31E3DF99">
        <w:pPr>
          <w:pStyle w:val="2"/>
          <w:ind w:firstLine="282" w:firstLineChars="157"/>
          <w:rPr>
            <w:rFonts w:ascii="宋体" w:hAnsi="宋体" w:eastAsia="宋体"/>
            <w:sz w:val="28"/>
            <w:szCs w:val="28"/>
          </w:rPr>
        </w:pPr>
        <w:r>
          <w:rPr>
            <w:rFonts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6</w:t>
        </w:r>
        <w:r>
          <w:rPr>
            <w:rFonts w:ascii="宋体" w:hAnsi="宋体" w:eastAsia="宋体"/>
            <w:sz w:val="28"/>
            <w:szCs w:val="28"/>
          </w:rPr>
          <w:fldChar w:fldCharType="end"/>
        </w:r>
        <w:r>
          <w:rPr>
            <w:rFonts w:ascii="宋体" w:hAnsi="宋体" w:eastAsia="宋体"/>
            <w:sz w:val="28"/>
            <w:szCs w:val="28"/>
          </w:rPr>
          <w:t>-</w:t>
        </w:r>
      </w:p>
    </w:sdtContent>
  </w:sdt>
  <w:p w14:paraId="2E1A1E28">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649"/>
    <w:rsid w:val="000A2FC8"/>
    <w:rsid w:val="00133645"/>
    <w:rsid w:val="00146AA7"/>
    <w:rsid w:val="001A07FE"/>
    <w:rsid w:val="002254F7"/>
    <w:rsid w:val="00277F0B"/>
    <w:rsid w:val="002975C2"/>
    <w:rsid w:val="002D716C"/>
    <w:rsid w:val="00367DF1"/>
    <w:rsid w:val="003C2A24"/>
    <w:rsid w:val="00435BAA"/>
    <w:rsid w:val="004559F7"/>
    <w:rsid w:val="004565FD"/>
    <w:rsid w:val="00471649"/>
    <w:rsid w:val="004C0D7A"/>
    <w:rsid w:val="0056409D"/>
    <w:rsid w:val="005716D1"/>
    <w:rsid w:val="005A52E6"/>
    <w:rsid w:val="006614A7"/>
    <w:rsid w:val="006B347C"/>
    <w:rsid w:val="006E05E9"/>
    <w:rsid w:val="00703711"/>
    <w:rsid w:val="00717725"/>
    <w:rsid w:val="00746522"/>
    <w:rsid w:val="007A0E91"/>
    <w:rsid w:val="007D571B"/>
    <w:rsid w:val="008325D4"/>
    <w:rsid w:val="008F174C"/>
    <w:rsid w:val="0091675E"/>
    <w:rsid w:val="0098453F"/>
    <w:rsid w:val="009E20E0"/>
    <w:rsid w:val="009F69C7"/>
    <w:rsid w:val="00A46D42"/>
    <w:rsid w:val="00A916D1"/>
    <w:rsid w:val="00AB447A"/>
    <w:rsid w:val="00AF35E8"/>
    <w:rsid w:val="00AF540F"/>
    <w:rsid w:val="00CC3E90"/>
    <w:rsid w:val="00D67B67"/>
    <w:rsid w:val="00E2197C"/>
    <w:rsid w:val="00EF156E"/>
    <w:rsid w:val="00F46472"/>
    <w:rsid w:val="00FA42AD"/>
    <w:rsid w:val="00FA55FD"/>
    <w:rsid w:val="052A53FB"/>
    <w:rsid w:val="07267E44"/>
    <w:rsid w:val="077B5C0A"/>
    <w:rsid w:val="0E903DF5"/>
    <w:rsid w:val="20CA01FD"/>
    <w:rsid w:val="21535882"/>
    <w:rsid w:val="26BB3CAD"/>
    <w:rsid w:val="2D961F3C"/>
    <w:rsid w:val="3B5F50F7"/>
    <w:rsid w:val="623B7475"/>
    <w:rsid w:val="6446522F"/>
    <w:rsid w:val="76402E54"/>
    <w:rsid w:val="76B178AE"/>
    <w:rsid w:val="7A2860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styleId="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2332</Words>
  <Characters>2464</Characters>
  <Lines>18</Lines>
  <Paragraphs>5</Paragraphs>
  <TotalTime>37</TotalTime>
  <ScaleCrop>false</ScaleCrop>
  <LinksUpToDate>false</LinksUpToDate>
  <CharactersWithSpaces>2476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2026-08-24T08:24:00Z</dcterms:created>
  <dc:creator>Administrator</dc:creator>
  <cp:lastModifiedBy>黄香玉</cp:lastModifiedBy>
  <dcterms:modified xsi:type="dcterms:W3CDTF">2026-09-01T02:37:10Z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eyJoZGlkIjoiY2UyZmMyMTIxNGJkNmYxMzhhOGE0NzA1YWMxYzgyNTUiLCJ1c2VySWQiOiI2NjE1NDczMDEifQ==</vt:lpwstr>
  </property>
  <property fmtid="{D5CDD505-2E9C-101B-9397-08002B2CF9AE}" pid="3" name="KSOProductBuildVer">
    <vt:lpwstr>2052-12.1.0.28043</vt:lpwstr>
  </property>
  <property fmtid="{D5CDD505-2E9C-101B-9397-08002B2CF9AE}" pid="4" name="ICV">
    <vt:lpwstr>EC5E708D2BE14CA4A61837D13F98F664_13</vt:lpwstr>
  </property>
</Properties>
</file>