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F482">
      <w:pPr>
        <w:spacing w:line="440" w:lineRule="exact"/>
        <w:ind w:firstLine="0" w:firstLineChars="0"/>
        <w:jc w:val="center"/>
        <w:rPr>
          <w:rFonts w:ascii="宋体" w:hAnsi="宋体" w:cs="宋体"/>
          <w:b/>
          <w:color w:val="auto"/>
          <w:highlight w:val="none"/>
        </w:rPr>
      </w:pPr>
      <w:bookmarkStart w:id="0" w:name="_Hlk536605924"/>
      <w:r>
        <w:rPr>
          <w:rFonts w:hint="eastAsia" w:ascii="宋体" w:hAnsi="宋体" w:eastAsia="宋体" w:cs="宋体"/>
          <w:b/>
          <w:color w:val="auto"/>
          <w:highlight w:val="none"/>
        </w:rPr>
        <w:t>投标人的资格要求：</w:t>
      </w:r>
    </w:p>
    <w:p w14:paraId="002CD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Cs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highlight w:val="none"/>
        </w:rPr>
        <w:t>1.投标人满足《政府采购法》第二十二条规定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/>
        </w:rPr>
        <w:t>：</w:t>
      </w:r>
    </w:p>
    <w:p w14:paraId="0FDC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textAlignment w:val="auto"/>
        <w:rPr>
          <w:rFonts w:hint="eastAsia" w:ascii="宋体" w:hAnsi="宋体" w:eastAsia="宋体" w:cs="宋体"/>
          <w:color w:val="auto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①具有独立承担的能力；（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有效的营业执照）</w:t>
      </w:r>
    </w:p>
    <w:p w14:paraId="2E0D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textAlignment w:val="auto"/>
        <w:rPr>
          <w:rFonts w:hint="eastAsia" w:ascii="宋体" w:hAnsi="宋体" w:eastAsia="宋体" w:cs="宋体"/>
          <w:color w:val="auto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②具有良好的商业信誉和健全的财务</w:t>
      </w:r>
      <w:r>
        <w:rPr>
          <w:rFonts w:hint="eastAsia" w:ascii="宋体" w:hAnsi="宋体" w:eastAsia="宋体" w:cs="宋体"/>
          <w:color w:val="auto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highlight w:val="none"/>
        </w:rPr>
        <w:instrText xml:space="preserve"> HYPERLINK "http://www.so.com/s?q=%E4%BC%9A%E8%AE%A1%E5%88%B6%E5%BA%A6&amp;ie=utf-8&amp;src=wenda_link" \t "_blank" </w:instrText>
      </w:r>
      <w:r>
        <w:rPr>
          <w:rFonts w:hint="eastAsia" w:ascii="宋体" w:hAnsi="宋体" w:eastAsia="宋体" w:cs="宋体"/>
          <w:color w:val="auto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会计制度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fldChar w:fldCharType="end"/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；（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提供2023年度或2024年度第三方审计报告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）</w:t>
      </w:r>
    </w:p>
    <w:p w14:paraId="73E12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textAlignment w:val="auto"/>
        <w:rPr>
          <w:rFonts w:hint="eastAsia" w:ascii="宋体" w:hAnsi="宋体" w:eastAsia="宋体" w:cs="宋体"/>
          <w:color w:val="auto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③具有履行合同所必需的设备和专业技术能力；（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提供声明函，格式自拟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）</w:t>
      </w:r>
    </w:p>
    <w:p w14:paraId="0B42F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textAlignment w:val="auto"/>
        <w:rPr>
          <w:rFonts w:hint="eastAsia" w:ascii="宋体" w:hAnsi="宋体" w:eastAsia="宋体" w:cs="宋体"/>
          <w:color w:val="auto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④有依法缴纳税收和</w:t>
      </w:r>
      <w:r>
        <w:rPr>
          <w:rFonts w:hint="eastAsia" w:ascii="宋体" w:hAnsi="宋体" w:eastAsia="宋体" w:cs="宋体"/>
          <w:color w:val="auto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highlight w:val="none"/>
        </w:rPr>
        <w:instrText xml:space="preserve"> HYPERLINK "http://www.so.com/s?q=%E7%A4%BE%E4%BC%9A%E4%BF%9D%E9%9A%9C%E8%B5%84%E9%87%91&amp;ie=utf-8&amp;src=wenda_link" \t "_blank" </w:instrText>
      </w:r>
      <w:r>
        <w:rPr>
          <w:rFonts w:hint="eastAsia" w:ascii="宋体" w:hAnsi="宋体" w:eastAsia="宋体" w:cs="宋体"/>
          <w:color w:val="auto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社会保障资金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fldChar w:fldCharType="end"/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的良好记录；（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提供投标截止前3个月任意一个月依法缴纳税收和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instrText xml:space="preserve"> HYPERLINK "http://www.so.com/s?q=%E7%A4%BE%E4%BC%9A%E4%BF%9D%E9%9A%9C%E8%B5%84%E9%87%91&amp;ie=utf-8&amp;src=wenda_link" \t "_blank" </w:instrTex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社会保障资金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证明文件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）</w:t>
      </w:r>
    </w:p>
    <w:p w14:paraId="7673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⑤参加采购、招投标活动前3年内，在经营活动中没有重大违法记录和行贿犯罪记录</w:t>
      </w:r>
      <w:r>
        <w:rPr>
          <w:rFonts w:hint="eastAsia" w:ascii="宋体" w:hAnsi="宋体" w:eastAsia="宋体" w:cs="宋体"/>
          <w:color w:val="auto"/>
          <w:highlight w:val="none"/>
        </w:rPr>
        <w:t>。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提供声明函，格式自拟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）；</w:t>
      </w:r>
    </w:p>
    <w:p w14:paraId="6585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highlight w:val="none"/>
        </w:rPr>
        <w:t>2.投标人</w:t>
      </w:r>
      <w:r>
        <w:rPr>
          <w:rFonts w:hint="eastAsia" w:ascii="宋体" w:hAnsi="宋体" w:eastAsia="宋体" w:cs="宋体"/>
          <w:bCs/>
          <w:color w:val="auto"/>
          <w:highlight w:val="none"/>
          <w:lang w:val="en-US" w:eastAsia="zh-CN"/>
        </w:rPr>
        <w:t>资质要求：</w:t>
      </w:r>
    </w:p>
    <w:p w14:paraId="05768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textAlignment w:val="auto"/>
        <w:rPr>
          <w:rFonts w:hint="eastAsia" w:ascii="宋体" w:hAnsi="宋体" w:eastAsia="宋体" w:cs="宋体"/>
          <w:bCs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①</w:t>
      </w:r>
      <w:r>
        <w:rPr>
          <w:rFonts w:hint="eastAsia" w:ascii="宋体" w:hAnsi="宋体" w:eastAsia="宋体" w:cs="宋体"/>
          <w:bCs/>
          <w:color w:val="auto"/>
          <w:highlight w:val="none"/>
        </w:rPr>
        <w:t>具有有效期内建设行政主管部门颁发的建筑装修装饰工程专业承包</w:t>
      </w:r>
      <w:r>
        <w:rPr>
          <w:rFonts w:hint="eastAsia" w:ascii="宋体" w:hAnsi="宋体" w:eastAsia="宋体" w:cs="宋体"/>
          <w:bCs/>
          <w:color w:val="auto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Cs/>
          <w:color w:val="auto"/>
          <w:highlight w:val="none"/>
        </w:rPr>
        <w:t>级</w:t>
      </w:r>
      <w:r>
        <w:rPr>
          <w:rFonts w:hint="eastAsia" w:ascii="宋体" w:hAnsi="宋体" w:eastAsia="宋体" w:cs="宋体"/>
          <w:bCs/>
          <w:color w:val="auto"/>
          <w:highlight w:val="none"/>
          <w:lang w:val="en-US" w:eastAsia="zh-CN"/>
        </w:rPr>
        <w:t>或以上</w:t>
      </w:r>
      <w:r>
        <w:rPr>
          <w:rFonts w:hint="eastAsia" w:ascii="宋体" w:hAnsi="宋体" w:eastAsia="宋体" w:cs="宋体"/>
          <w:bCs/>
          <w:color w:val="auto"/>
          <w:highlight w:val="none"/>
        </w:rPr>
        <w:t>资质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/>
        </w:rPr>
        <w:t>；</w:t>
      </w:r>
    </w:p>
    <w:p w14:paraId="726FD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textAlignment w:val="auto"/>
        <w:rPr>
          <w:rFonts w:hint="eastAsia" w:ascii="宋体" w:hAnsi="宋体" w:eastAsia="宋体" w:cs="宋体"/>
          <w:bCs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②</w:t>
      </w:r>
      <w:r>
        <w:rPr>
          <w:rFonts w:hint="eastAsia" w:ascii="宋体" w:hAnsi="宋体" w:eastAsia="宋体" w:cs="宋体"/>
          <w:bCs/>
          <w:color w:val="auto"/>
          <w:highlight w:val="none"/>
        </w:rPr>
        <w:t>具有有效的安全生产许可证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/>
        </w:rPr>
        <w:t>。</w:t>
      </w:r>
    </w:p>
    <w:p w14:paraId="6E9AE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Cs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highlight w:val="none"/>
        </w:rPr>
        <w:t>.本项目不接受联合体参加投标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/>
        </w:rPr>
        <w:t>；</w:t>
      </w:r>
    </w:p>
    <w:p w14:paraId="1260B342">
      <w:pP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br w:type="page"/>
      </w:r>
      <w:bookmarkStart w:id="1" w:name="_GoBack"/>
      <w:bookmarkEnd w:id="1"/>
    </w:p>
    <w:p w14:paraId="45BE5A83">
      <w:pPr>
        <w:bidi w:val="0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评标办法及标准</w:t>
      </w:r>
    </w:p>
    <w:p w14:paraId="4B9828AC">
      <w:pPr>
        <w:autoSpaceDE w:val="0"/>
        <w:autoSpaceDN w:val="0"/>
        <w:adjustRightInd w:val="0"/>
        <w:spacing w:line="380" w:lineRule="exact"/>
        <w:jc w:val="center"/>
        <w:rPr>
          <w:rFonts w:hint="eastAsia" w:ascii="宋体" w:hAnsi="宋体" w:eastAsia="宋体" w:cs="宋体"/>
          <w:bCs/>
          <w:color w:val="auto"/>
          <w:sz w:val="18"/>
          <w:szCs w:val="18"/>
          <w:highlight w:val="none"/>
          <w:lang w:val="zh-CN"/>
        </w:rPr>
      </w:pPr>
    </w:p>
    <w:tbl>
      <w:tblPr>
        <w:tblStyle w:val="24"/>
        <w:tblpPr w:leftFromText="180" w:rightFromText="180" w:vertAnchor="text" w:tblpXSpec="center" w:tblpY="1"/>
        <w:tblOverlap w:val="never"/>
        <w:tblW w:w="499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60"/>
        <w:gridCol w:w="6651"/>
      </w:tblGrid>
      <w:tr w14:paraId="0A138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noWrap w:val="0"/>
            <w:vAlign w:val="center"/>
          </w:tcPr>
          <w:p w14:paraId="6B5533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评审因素</w:t>
            </w:r>
          </w:p>
        </w:tc>
        <w:tc>
          <w:tcPr>
            <w:tcW w:w="4428" w:type="pct"/>
            <w:gridSpan w:val="2"/>
            <w:noWrap w:val="0"/>
            <w:vAlign w:val="center"/>
          </w:tcPr>
          <w:p w14:paraId="2A3A65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评审标准</w:t>
            </w:r>
          </w:p>
        </w:tc>
      </w:tr>
      <w:tr w14:paraId="1E6FC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noWrap w:val="0"/>
            <w:vAlign w:val="center"/>
          </w:tcPr>
          <w:p w14:paraId="1DB799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分值构成</w:t>
            </w:r>
          </w:p>
        </w:tc>
        <w:tc>
          <w:tcPr>
            <w:tcW w:w="4428" w:type="pct"/>
            <w:gridSpan w:val="2"/>
            <w:noWrap w:val="0"/>
            <w:vAlign w:val="center"/>
          </w:tcPr>
          <w:p w14:paraId="40B9CD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商务部分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.0分</w:t>
            </w:r>
          </w:p>
          <w:p w14:paraId="3531BD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技术部分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.0分</w:t>
            </w:r>
          </w:p>
          <w:p w14:paraId="6791AE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报价得分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.0分</w:t>
            </w:r>
          </w:p>
        </w:tc>
      </w:tr>
      <w:tr w14:paraId="29D6A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vMerge w:val="restart"/>
            <w:noWrap w:val="0"/>
            <w:vAlign w:val="center"/>
          </w:tcPr>
          <w:p w14:paraId="50FC9B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技术部分</w:t>
            </w:r>
          </w:p>
        </w:tc>
        <w:tc>
          <w:tcPr>
            <w:tcW w:w="1047" w:type="pct"/>
            <w:noWrap w:val="0"/>
            <w:vAlign w:val="center"/>
          </w:tcPr>
          <w:p w14:paraId="52617BB1">
            <w:pPr>
              <w:spacing w:line="35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项目整体实施组织方案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380" w:type="pct"/>
            <w:noWrap w:val="0"/>
            <w:vAlign w:val="center"/>
          </w:tcPr>
          <w:p w14:paraId="43E4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所提供针对本项目项目整体实施组织方案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包含但不限于：施工总体部署、施工总体流程、资源配备计划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施工方法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、技术保证措施、）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zh-CN" w:eastAsia="zh-CN"/>
              </w:rPr>
              <w:t>进行评审</w:t>
            </w:r>
          </w:p>
          <w:p w14:paraId="0906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（1）内容完整详细，针对性强，得15分； </w:t>
            </w:r>
          </w:p>
          <w:p w14:paraId="5D94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（2）内容较完整，得10分；</w:t>
            </w:r>
          </w:p>
          <w:p w14:paraId="3A6AD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（3）内容有缺漏，得5分；</w:t>
            </w:r>
          </w:p>
          <w:p w14:paraId="4C82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注：未提供方案不得分。</w:t>
            </w:r>
          </w:p>
        </w:tc>
      </w:tr>
      <w:tr w14:paraId="68A4E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vMerge w:val="continue"/>
            <w:noWrap w:val="0"/>
            <w:vAlign w:val="center"/>
          </w:tcPr>
          <w:p w14:paraId="5B7FD0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07034CE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施工进度计划和工期</w:t>
            </w:r>
          </w:p>
          <w:p w14:paraId="48E4C71A">
            <w:pPr>
              <w:spacing w:line="35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380" w:type="pct"/>
            <w:noWrap w:val="0"/>
            <w:vAlign w:val="center"/>
          </w:tcPr>
          <w:p w14:paraId="637B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所提供的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施工进度计划和工期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包含但不限于工期目标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施工进度计划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保证措施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进行评审</w:t>
            </w:r>
          </w:p>
          <w:p w14:paraId="4681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（1）内容完整详细，针对性强，得15分； </w:t>
            </w:r>
          </w:p>
          <w:p w14:paraId="7A2D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（2）内容较完整，得10分；</w:t>
            </w:r>
          </w:p>
          <w:p w14:paraId="7BD46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（3）内容有缺漏，得5分；</w:t>
            </w:r>
          </w:p>
          <w:p w14:paraId="7A84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注：未提供方案不得分。</w:t>
            </w:r>
          </w:p>
        </w:tc>
      </w:tr>
      <w:tr w14:paraId="16D23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vMerge w:val="continue"/>
            <w:noWrap w:val="0"/>
            <w:vAlign w:val="center"/>
          </w:tcPr>
          <w:p w14:paraId="068A97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09AADC9F">
            <w:pPr>
              <w:spacing w:line="35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安全施工、文明施工与环境保护措施</w:t>
            </w:r>
          </w:p>
          <w:p w14:paraId="40C00407">
            <w:pPr>
              <w:spacing w:line="35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380" w:type="pct"/>
            <w:noWrap w:val="0"/>
            <w:vAlign w:val="center"/>
          </w:tcPr>
          <w:p w14:paraId="4B17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所提供的安全文明施工措施方案（包括但不限于安全文明施工措施，安全生产规章制度、安全生产管理体系、安全责任制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、环境保护体系及措施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）进行评审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  <w:t>。</w:t>
            </w:r>
          </w:p>
          <w:p w14:paraId="3A5E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（1）内容完整详细，针对性强，得15分； </w:t>
            </w:r>
          </w:p>
          <w:p w14:paraId="44C9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（2）内容较完整，得10分；</w:t>
            </w:r>
          </w:p>
          <w:p w14:paraId="65D5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（3）内容有缺漏，得5分；</w:t>
            </w:r>
          </w:p>
          <w:p w14:paraId="223A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注：未提供方案不得分。</w:t>
            </w:r>
          </w:p>
        </w:tc>
      </w:tr>
      <w:tr w14:paraId="345D3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vMerge w:val="continue"/>
            <w:noWrap w:val="0"/>
            <w:vAlign w:val="center"/>
          </w:tcPr>
          <w:p w14:paraId="0BB1B0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3DF7F95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质量保证措施</w:t>
            </w:r>
          </w:p>
          <w:p w14:paraId="045EEA19">
            <w:pPr>
              <w:spacing w:line="35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380" w:type="pct"/>
            <w:noWrap w:val="0"/>
            <w:vAlign w:val="center"/>
          </w:tcPr>
          <w:p w14:paraId="63F7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所提供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质量保证措施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zh-CN" w:eastAsia="zh-CN"/>
              </w:rPr>
              <w:t>（包括但不限于质量目标、质量保证体系、质量承诺、对影响工程质量的原因采取预防和纠正措施、材料采购、过程控制及检验、分项措施等的响应）进行评审。</w:t>
            </w:r>
          </w:p>
          <w:p w14:paraId="230B1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（1）内容完整详细，针对性强，得15分； </w:t>
            </w:r>
          </w:p>
          <w:p w14:paraId="588A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（2）内容较完整，得10分；</w:t>
            </w:r>
          </w:p>
          <w:p w14:paraId="32D2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（3）内容有缺漏，得5分；</w:t>
            </w:r>
          </w:p>
          <w:p w14:paraId="51CC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注：未提供方案不得分。</w:t>
            </w:r>
          </w:p>
        </w:tc>
      </w:tr>
      <w:tr w14:paraId="0D729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vMerge w:val="restart"/>
            <w:noWrap w:val="0"/>
            <w:vAlign w:val="center"/>
          </w:tcPr>
          <w:p w14:paraId="3C72F5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商务部分</w:t>
            </w:r>
          </w:p>
        </w:tc>
        <w:tc>
          <w:tcPr>
            <w:tcW w:w="1047" w:type="pct"/>
            <w:vMerge w:val="restart"/>
            <w:noWrap w:val="0"/>
            <w:vAlign w:val="center"/>
          </w:tcPr>
          <w:p w14:paraId="08A646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实力</w:t>
            </w:r>
          </w:p>
          <w:p w14:paraId="6503D1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分)</w:t>
            </w:r>
          </w:p>
        </w:tc>
        <w:tc>
          <w:tcPr>
            <w:tcW w:w="3380" w:type="pct"/>
            <w:noWrap w:val="0"/>
            <w:vAlign w:val="center"/>
          </w:tcPr>
          <w:p w14:paraId="05394E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1、投标人具有与本项目相关的体系认证证书，证书应包含类似“医疗系统工程施工”范围。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提供1个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2分，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满分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10DD38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评审依据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提供有效的相关证书原件扫描件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zh-CN" w:eastAsia="zh-CN"/>
              </w:rPr>
              <w:t>加盖公章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及全国认证认可信息公共服务平台（http://cx.cnca.cn/CertECloud/index/index/page）网页查询截图，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未提供或证书数量不足或认证范围不满足要求不得分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。</w:t>
            </w:r>
          </w:p>
        </w:tc>
      </w:tr>
      <w:tr w14:paraId="5A4E3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vMerge w:val="continue"/>
            <w:noWrap w:val="0"/>
            <w:vAlign w:val="center"/>
          </w:tcPr>
          <w:p w14:paraId="422B08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47" w:type="pct"/>
            <w:vMerge w:val="continue"/>
            <w:noWrap w:val="0"/>
            <w:vAlign w:val="center"/>
          </w:tcPr>
          <w:p w14:paraId="7F59DC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80" w:type="pct"/>
            <w:noWrap w:val="0"/>
            <w:vAlign w:val="center"/>
          </w:tcPr>
          <w:p w14:paraId="7DCE9C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连续五年或以上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获得纳税信用A级证书，得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0995C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评审依据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提供相关证明资料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原件扫描件加盖公章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，不提供不得分。</w:t>
            </w:r>
          </w:p>
        </w:tc>
      </w:tr>
      <w:tr w14:paraId="27E20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vMerge w:val="continue"/>
            <w:noWrap w:val="0"/>
            <w:vAlign w:val="center"/>
          </w:tcPr>
          <w:p w14:paraId="270764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47" w:type="pct"/>
            <w:vMerge w:val="continue"/>
            <w:noWrap w:val="0"/>
            <w:vAlign w:val="center"/>
          </w:tcPr>
          <w:p w14:paraId="3F60D9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80" w:type="pct"/>
            <w:noWrap w:val="0"/>
            <w:vAlign w:val="center"/>
          </w:tcPr>
          <w:p w14:paraId="23D2834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连续五年或以上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获得省级或以上诚信示范企业，得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4EE57A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评审依据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提供相关证明资料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原件扫描件加盖公章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，不提供不得分。</w:t>
            </w:r>
          </w:p>
        </w:tc>
      </w:tr>
      <w:tr w14:paraId="056DB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vMerge w:val="continue"/>
            <w:noWrap w:val="0"/>
            <w:vAlign w:val="center"/>
          </w:tcPr>
          <w:p w14:paraId="56E0C0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47" w:type="pct"/>
            <w:vMerge w:val="restart"/>
            <w:noWrap w:val="0"/>
            <w:vAlign w:val="center"/>
          </w:tcPr>
          <w:p w14:paraId="784617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团队投入</w:t>
            </w:r>
          </w:p>
          <w:p w14:paraId="608E80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分)</w:t>
            </w:r>
          </w:p>
        </w:tc>
        <w:tc>
          <w:tcPr>
            <w:tcW w:w="3380" w:type="pct"/>
            <w:noWrap w:val="0"/>
            <w:vAlign w:val="center"/>
          </w:tcPr>
          <w:p w14:paraId="656FD8CC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1、拟派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项目负责人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具有机电或建筑工程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相关专业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中级或以上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工程师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职称得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分。</w:t>
            </w:r>
          </w:p>
          <w:p w14:paraId="6B6EF377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评审依据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提供职称证书、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zh-CN" w:eastAsia="zh-CN"/>
              </w:rPr>
              <w:t>投标截止之日前连续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zh-CN" w:eastAsia="zh-CN"/>
              </w:rPr>
              <w:t>个月投标人为其缴纳的社保证明文件原件扫描件加盖公章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，所需证明材料齐全得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分，资料不全或未提供的不得分。</w:t>
            </w:r>
          </w:p>
        </w:tc>
      </w:tr>
      <w:tr w14:paraId="75A8E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vMerge w:val="continue"/>
            <w:noWrap w:val="0"/>
            <w:vAlign w:val="center"/>
          </w:tcPr>
          <w:p w14:paraId="150CBF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47" w:type="pct"/>
            <w:vMerge w:val="continue"/>
            <w:noWrap w:val="0"/>
            <w:vAlign w:val="center"/>
          </w:tcPr>
          <w:p w14:paraId="66B2CE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80" w:type="pct"/>
            <w:noWrap w:val="0"/>
            <w:vAlign w:val="center"/>
          </w:tcPr>
          <w:p w14:paraId="6B222224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拟派项目负责人自2021年1月1日至今,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完成过质量合格的类似工程业绩情况。每提供1项业绩得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分，满分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分。</w:t>
            </w:r>
          </w:p>
          <w:p w14:paraId="01926358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注:类似工程业绩指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医疗行业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相关装修(或改造工程)施工业绩。</w:t>
            </w:r>
          </w:p>
          <w:p w14:paraId="7D2F5054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评审依据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中标网页公示截图、中标通知书、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施工合同(关键页)和竣工验收报告(或竣工验收证明)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 w14:paraId="565C88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vMerge w:val="continue"/>
            <w:noWrap w:val="0"/>
            <w:vAlign w:val="center"/>
          </w:tcPr>
          <w:p w14:paraId="1B7BAD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179B23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类似业绩</w:t>
            </w:r>
          </w:p>
          <w:p w14:paraId="19642F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</w:rPr>
              <w:t>分)</w:t>
            </w:r>
          </w:p>
        </w:tc>
        <w:tc>
          <w:tcPr>
            <w:tcW w:w="3380" w:type="pct"/>
            <w:noWrap w:val="0"/>
            <w:vAlign w:val="center"/>
          </w:tcPr>
          <w:p w14:paraId="60ED05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投标人自20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年1月1日（以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合同协议书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时间为准）以来承接过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十个或以上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类似工程业绩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分。</w:t>
            </w:r>
          </w:p>
          <w:p w14:paraId="559DC763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注:类似工程业绩指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医疗行业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相关装修(或改造工程)施工业绩。</w:t>
            </w:r>
          </w:p>
          <w:p w14:paraId="41D9B0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评审依据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中标网页公示截图、中标通知书、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施工合同(关键页)扫描件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zh-CN" w:eastAsia="zh-CN"/>
              </w:rPr>
              <w:t>加盖公章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  <w:t>，资料不全或未提供的不得分。</w:t>
            </w:r>
          </w:p>
        </w:tc>
      </w:tr>
      <w:tr w14:paraId="5F085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1" w:type="pct"/>
            <w:noWrap w:val="0"/>
            <w:vAlign w:val="center"/>
          </w:tcPr>
          <w:p w14:paraId="2E02BA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投标报价</w:t>
            </w:r>
          </w:p>
        </w:tc>
        <w:tc>
          <w:tcPr>
            <w:tcW w:w="1047" w:type="pct"/>
            <w:noWrap w:val="0"/>
            <w:vAlign w:val="center"/>
          </w:tcPr>
          <w:p w14:paraId="421010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投标报价得分</w:t>
            </w:r>
          </w:p>
          <w:p w14:paraId="24F4A0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0.0分)</w:t>
            </w:r>
          </w:p>
        </w:tc>
        <w:tc>
          <w:tcPr>
            <w:tcW w:w="3380" w:type="pct"/>
            <w:noWrap w:val="0"/>
            <w:vAlign w:val="center"/>
          </w:tcPr>
          <w:p w14:paraId="21D8AA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投标报价得分＝（评标基准价/投标报价）×价格分值【注：满足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竞争性磋商文件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</w:tr>
    </w:tbl>
    <w:p w14:paraId="2A7D9336">
      <w:pPr>
        <w:pStyle w:val="9"/>
        <w:rPr>
          <w:rFonts w:hint="eastAsia"/>
          <w:lang w:val="zh-CN"/>
        </w:rPr>
      </w:pPr>
    </w:p>
    <w:bookmarkEnd w:id="0"/>
    <w:p w14:paraId="1B585E06">
      <w:pPr>
        <w:rPr>
          <w:rFonts w:ascii="宋体" w:hAnsi="宋体" w:eastAsia="宋体" w:cs="宋体"/>
          <w:color w:val="auto"/>
          <w:kern w:val="0"/>
          <w:szCs w:val="21"/>
          <w:highlight w:val="none"/>
          <w:lang w:bidi="ar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4B0F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97F23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97F23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0MTNmMGJmZGE2YmM2OWRlYjRkMDI3MDZmMzFmYzgifQ=="/>
    <w:docVar w:name="KSO_WPS_MARK_KEY" w:val="a56a99e2-6920-46ee-a3a5-49c967a7ce96"/>
  </w:docVars>
  <w:rsids>
    <w:rsidRoot w:val="00172A27"/>
    <w:rsid w:val="0002384D"/>
    <w:rsid w:val="00027E54"/>
    <w:rsid w:val="00042776"/>
    <w:rsid w:val="0004737B"/>
    <w:rsid w:val="00064D9C"/>
    <w:rsid w:val="000B2641"/>
    <w:rsid w:val="00101582"/>
    <w:rsid w:val="00121C39"/>
    <w:rsid w:val="00172A27"/>
    <w:rsid w:val="00180007"/>
    <w:rsid w:val="001810B5"/>
    <w:rsid w:val="00192931"/>
    <w:rsid w:val="001B02DC"/>
    <w:rsid w:val="00200A22"/>
    <w:rsid w:val="0022217C"/>
    <w:rsid w:val="00244840"/>
    <w:rsid w:val="00263624"/>
    <w:rsid w:val="002905AA"/>
    <w:rsid w:val="002C42B1"/>
    <w:rsid w:val="00396625"/>
    <w:rsid w:val="003A79B3"/>
    <w:rsid w:val="00400C00"/>
    <w:rsid w:val="00422BA4"/>
    <w:rsid w:val="00422DCA"/>
    <w:rsid w:val="004A29AC"/>
    <w:rsid w:val="004E0863"/>
    <w:rsid w:val="004E0E5C"/>
    <w:rsid w:val="004E4613"/>
    <w:rsid w:val="00503C8B"/>
    <w:rsid w:val="00523559"/>
    <w:rsid w:val="005463AE"/>
    <w:rsid w:val="00553722"/>
    <w:rsid w:val="005B05EB"/>
    <w:rsid w:val="00606CD6"/>
    <w:rsid w:val="006216EE"/>
    <w:rsid w:val="0065491D"/>
    <w:rsid w:val="006717AA"/>
    <w:rsid w:val="0067795A"/>
    <w:rsid w:val="00680378"/>
    <w:rsid w:val="00680938"/>
    <w:rsid w:val="00683DB2"/>
    <w:rsid w:val="006C4E05"/>
    <w:rsid w:val="006D61A5"/>
    <w:rsid w:val="00752CF3"/>
    <w:rsid w:val="00770138"/>
    <w:rsid w:val="0079761B"/>
    <w:rsid w:val="007B3205"/>
    <w:rsid w:val="007C50E8"/>
    <w:rsid w:val="00820015"/>
    <w:rsid w:val="008370BE"/>
    <w:rsid w:val="00882644"/>
    <w:rsid w:val="008B1382"/>
    <w:rsid w:val="008C3E75"/>
    <w:rsid w:val="008E747A"/>
    <w:rsid w:val="008E7625"/>
    <w:rsid w:val="00935F8A"/>
    <w:rsid w:val="00952A5D"/>
    <w:rsid w:val="00991378"/>
    <w:rsid w:val="00A074AE"/>
    <w:rsid w:val="00A60B70"/>
    <w:rsid w:val="00A76C57"/>
    <w:rsid w:val="00AD15A9"/>
    <w:rsid w:val="00AD2710"/>
    <w:rsid w:val="00B2073F"/>
    <w:rsid w:val="00B227EA"/>
    <w:rsid w:val="00B95941"/>
    <w:rsid w:val="00BB24F3"/>
    <w:rsid w:val="00BC6258"/>
    <w:rsid w:val="00BF2808"/>
    <w:rsid w:val="00BF2E4C"/>
    <w:rsid w:val="00C51452"/>
    <w:rsid w:val="00C604FF"/>
    <w:rsid w:val="00C65EAC"/>
    <w:rsid w:val="00D05E5F"/>
    <w:rsid w:val="00D47558"/>
    <w:rsid w:val="00D53FA3"/>
    <w:rsid w:val="00D73A8F"/>
    <w:rsid w:val="00DC6D68"/>
    <w:rsid w:val="00DE4760"/>
    <w:rsid w:val="00DF5C14"/>
    <w:rsid w:val="00E20927"/>
    <w:rsid w:val="00E347C4"/>
    <w:rsid w:val="00EA7103"/>
    <w:rsid w:val="00F11C27"/>
    <w:rsid w:val="00F1325F"/>
    <w:rsid w:val="00F32481"/>
    <w:rsid w:val="00F5222D"/>
    <w:rsid w:val="00F8520C"/>
    <w:rsid w:val="00FA531F"/>
    <w:rsid w:val="00FA7DB9"/>
    <w:rsid w:val="015D69E7"/>
    <w:rsid w:val="02C1356F"/>
    <w:rsid w:val="04C37937"/>
    <w:rsid w:val="077324B0"/>
    <w:rsid w:val="0A386602"/>
    <w:rsid w:val="0B372620"/>
    <w:rsid w:val="1091502E"/>
    <w:rsid w:val="10BC77F0"/>
    <w:rsid w:val="137C390C"/>
    <w:rsid w:val="15B94ECB"/>
    <w:rsid w:val="1670755D"/>
    <w:rsid w:val="196939F2"/>
    <w:rsid w:val="1AC342E1"/>
    <w:rsid w:val="1D4E55A7"/>
    <w:rsid w:val="1DAD4EA3"/>
    <w:rsid w:val="1EE53317"/>
    <w:rsid w:val="1F43738D"/>
    <w:rsid w:val="219E4DBC"/>
    <w:rsid w:val="230B129E"/>
    <w:rsid w:val="240A3A6C"/>
    <w:rsid w:val="259049AF"/>
    <w:rsid w:val="25975FC6"/>
    <w:rsid w:val="26F031F8"/>
    <w:rsid w:val="270B2755"/>
    <w:rsid w:val="29C61BC4"/>
    <w:rsid w:val="2CB01DDA"/>
    <w:rsid w:val="2E460EF5"/>
    <w:rsid w:val="2E8B1E40"/>
    <w:rsid w:val="306365DD"/>
    <w:rsid w:val="323D263B"/>
    <w:rsid w:val="36146F36"/>
    <w:rsid w:val="37A60DB8"/>
    <w:rsid w:val="3AEA64B7"/>
    <w:rsid w:val="3B05432D"/>
    <w:rsid w:val="3E5A5EE7"/>
    <w:rsid w:val="3F714F5F"/>
    <w:rsid w:val="41E06866"/>
    <w:rsid w:val="42D15A46"/>
    <w:rsid w:val="436D6DE8"/>
    <w:rsid w:val="4402006F"/>
    <w:rsid w:val="443A3C0D"/>
    <w:rsid w:val="44D02A12"/>
    <w:rsid w:val="497C4B99"/>
    <w:rsid w:val="4A374FC7"/>
    <w:rsid w:val="4A7E7217"/>
    <w:rsid w:val="4B9506C1"/>
    <w:rsid w:val="4C0E5376"/>
    <w:rsid w:val="4C425F6A"/>
    <w:rsid w:val="4CAF0B79"/>
    <w:rsid w:val="4D3E4893"/>
    <w:rsid w:val="4DCD7379"/>
    <w:rsid w:val="4DEA04F5"/>
    <w:rsid w:val="4FC32A77"/>
    <w:rsid w:val="506A26C5"/>
    <w:rsid w:val="51436AFD"/>
    <w:rsid w:val="53D13E85"/>
    <w:rsid w:val="54A650AF"/>
    <w:rsid w:val="59412037"/>
    <w:rsid w:val="5A3A5E50"/>
    <w:rsid w:val="5CEA5131"/>
    <w:rsid w:val="61747918"/>
    <w:rsid w:val="62125627"/>
    <w:rsid w:val="62721F6C"/>
    <w:rsid w:val="6355756E"/>
    <w:rsid w:val="661C0E07"/>
    <w:rsid w:val="66D56F34"/>
    <w:rsid w:val="697A53D0"/>
    <w:rsid w:val="69C42446"/>
    <w:rsid w:val="6B454EC0"/>
    <w:rsid w:val="6C125D77"/>
    <w:rsid w:val="6CD155C9"/>
    <w:rsid w:val="6EB153BA"/>
    <w:rsid w:val="6F297D8E"/>
    <w:rsid w:val="6FBF5751"/>
    <w:rsid w:val="716D2A9B"/>
    <w:rsid w:val="71C345A3"/>
    <w:rsid w:val="739B657B"/>
    <w:rsid w:val="74F6722B"/>
    <w:rsid w:val="7581743D"/>
    <w:rsid w:val="78A50A7C"/>
    <w:rsid w:val="78E6545B"/>
    <w:rsid w:val="79660E24"/>
    <w:rsid w:val="7A815F2C"/>
    <w:rsid w:val="7E5A528F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05"/>
      </w:tabs>
      <w:spacing w:line="300" w:lineRule="auto"/>
      <w:ind w:left="405" w:hanging="405"/>
      <w:jc w:val="left"/>
      <w:outlineLvl w:val="0"/>
    </w:pPr>
    <w:rPr>
      <w:rFonts w:ascii="Times New Roman" w:hAnsi="Times New Roman" w:eastAsia="Calibri"/>
      <w:b/>
      <w:sz w:val="28"/>
      <w:szCs w:val="20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2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7"/>
    <w:qFormat/>
    <w:uiPriority w:val="0"/>
    <w:pPr>
      <w:ind w:firstLine="420"/>
      <w:jc w:val="left"/>
    </w:pPr>
    <w:rPr>
      <w:rFonts w:ascii="仿宋_GB2312" w:hAnsi="Times New Roman" w:eastAsia="宋体" w:cs="Times New Roman"/>
      <w:sz w:val="24"/>
      <w:szCs w:val="20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8">
    <w:name w:val="annotation text"/>
    <w:basedOn w:val="1"/>
    <w:link w:val="40"/>
    <w:qFormat/>
    <w:uiPriority w:val="0"/>
    <w:pPr>
      <w:jc w:val="left"/>
    </w:pPr>
  </w:style>
  <w:style w:type="paragraph" w:styleId="9">
    <w:name w:val="Body Text"/>
    <w:basedOn w:val="1"/>
    <w:next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paragraph" w:styleId="11">
    <w:name w:val="Body Text Indent"/>
    <w:basedOn w:val="1"/>
    <w:link w:val="45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Plain Text"/>
    <w:basedOn w:val="1"/>
    <w:link w:val="42"/>
    <w:qFormat/>
    <w:uiPriority w:val="0"/>
    <w:rPr>
      <w:rFonts w:ascii="宋体" w:hAnsi="Courier New" w:eastAsia="宋体" w:cs="Times New Roman"/>
      <w:szCs w:val="20"/>
    </w:rPr>
  </w:style>
  <w:style w:type="paragraph" w:styleId="14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9">
    <w:name w:val="index 1"/>
    <w:basedOn w:val="1"/>
    <w:next w:val="1"/>
    <w:qFormat/>
    <w:uiPriority w:val="0"/>
    <w:pPr>
      <w:widowControl/>
      <w:spacing w:line="360" w:lineRule="auto"/>
      <w:ind w:left="240" w:hanging="240"/>
      <w:jc w:val="left"/>
    </w:pPr>
    <w:rPr>
      <w:rFonts w:ascii="Arial" w:hAnsi="Arial" w:eastAsia="宋体" w:cs="Arial"/>
      <w:kern w:val="0"/>
      <w:sz w:val="24"/>
      <w:szCs w:val="21"/>
    </w:rPr>
  </w:style>
  <w:style w:type="paragraph" w:styleId="20">
    <w:name w:val="Title"/>
    <w:basedOn w:val="1"/>
    <w:next w:val="1"/>
    <w:link w:val="44"/>
    <w:qFormat/>
    <w:uiPriority w:val="0"/>
    <w:pPr>
      <w:jc w:val="center"/>
    </w:pPr>
    <w:rPr>
      <w:rFonts w:ascii="Arial" w:hAnsi="Arial" w:eastAsia="宋体" w:cs="Times New Roman"/>
      <w:b/>
      <w:kern w:val="0"/>
      <w:sz w:val="36"/>
      <w:szCs w:val="20"/>
      <w:lang w:eastAsia="en-US"/>
    </w:rPr>
  </w:style>
  <w:style w:type="paragraph" w:styleId="21">
    <w:name w:val="annotation subject"/>
    <w:basedOn w:val="8"/>
    <w:next w:val="8"/>
    <w:link w:val="41"/>
    <w:qFormat/>
    <w:uiPriority w:val="0"/>
    <w:rPr>
      <w:b/>
      <w:bCs/>
    </w:rPr>
  </w:style>
  <w:style w:type="paragraph" w:styleId="22">
    <w:name w:val="Body Text First Indent"/>
    <w:basedOn w:val="9"/>
    <w:qFormat/>
    <w:uiPriority w:val="0"/>
    <w:pPr>
      <w:ind w:firstLine="420" w:firstLineChars="100"/>
    </w:pPr>
  </w:style>
  <w:style w:type="paragraph" w:styleId="23">
    <w:name w:val="Body Text First Indent 2"/>
    <w:basedOn w:val="11"/>
    <w:next w:val="1"/>
    <w:link w:val="46"/>
    <w:qFormat/>
    <w:uiPriority w:val="0"/>
    <w:pPr>
      <w:ind w:firstLine="420" w:firstLineChars="200"/>
      <w:jc w:val="left"/>
    </w:pPr>
    <w:rPr>
      <w:rFonts w:ascii="Times New Roman" w:hAnsi="Times New Roman" w:eastAsia="宋体" w:cs="Times New Roman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annotation reference"/>
    <w:basedOn w:val="26"/>
    <w:qFormat/>
    <w:uiPriority w:val="0"/>
    <w:rPr>
      <w:sz w:val="21"/>
      <w:szCs w:val="21"/>
    </w:rPr>
  </w:style>
  <w:style w:type="character" w:customStyle="1" w:styleId="28">
    <w:name w:val="标题 3 字符"/>
    <w:link w:val="5"/>
    <w:qFormat/>
    <w:uiPriority w:val="0"/>
    <w:rPr>
      <w:b/>
      <w:sz w:val="32"/>
    </w:rPr>
  </w:style>
  <w:style w:type="character" w:customStyle="1" w:styleId="29">
    <w:name w:val="font01"/>
    <w:basedOn w:val="2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0">
    <w:name w:val="font21"/>
    <w:basedOn w:val="2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1">
    <w:name w:val="font11"/>
    <w:basedOn w:val="2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71"/>
    <w:basedOn w:val="2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3">
    <w:name w:val="font61"/>
    <w:basedOn w:val="2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4">
    <w:name w:val="正文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paragraph" w:customStyle="1" w:styleId="35">
    <w:name w:val="表格样式 2"/>
    <w:qFormat/>
    <w:uiPriority w:val="0"/>
    <w:rPr>
      <w:rFonts w:ascii="Helvetica" w:hAnsi="Helvetica" w:eastAsia="Helvetica" w:cs="Times New Roman"/>
      <w:color w:val="000000"/>
      <w:lang w:val="en-US" w:eastAsia="zh-CN" w:bidi="ar-SA"/>
    </w:rPr>
  </w:style>
  <w:style w:type="paragraph" w:styleId="36">
    <w:name w:val="List Paragraph"/>
    <w:basedOn w:val="1"/>
    <w:link w:val="43"/>
    <w:unhideWhenUsed/>
    <w:qFormat/>
    <w:uiPriority w:val="0"/>
    <w:pPr>
      <w:ind w:firstLine="420" w:firstLineChars="200"/>
    </w:pPr>
  </w:style>
  <w:style w:type="character" w:customStyle="1" w:styleId="37">
    <w:name w:val="页眉 字符"/>
    <w:basedOn w:val="26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页脚 字符"/>
    <w:basedOn w:val="26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0">
    <w:name w:val="批注文字 字符"/>
    <w:basedOn w:val="26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1">
    <w:name w:val="批注主题 字符"/>
    <w:basedOn w:val="40"/>
    <w:link w:val="2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42">
    <w:name w:val="纯文本 字符"/>
    <w:basedOn w:val="26"/>
    <w:link w:val="13"/>
    <w:qFormat/>
    <w:uiPriority w:val="0"/>
    <w:rPr>
      <w:rFonts w:ascii="宋体" w:hAnsi="Courier New"/>
      <w:kern w:val="2"/>
      <w:sz w:val="21"/>
    </w:rPr>
  </w:style>
  <w:style w:type="character" w:customStyle="1" w:styleId="43">
    <w:name w:val="列表段落 字符"/>
    <w:link w:val="3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4">
    <w:name w:val="标题 字符"/>
    <w:basedOn w:val="26"/>
    <w:link w:val="20"/>
    <w:qFormat/>
    <w:uiPriority w:val="0"/>
    <w:rPr>
      <w:rFonts w:ascii="Arial" w:hAnsi="Arial"/>
      <w:b/>
      <w:sz w:val="36"/>
      <w:lang w:eastAsia="en-US"/>
    </w:rPr>
  </w:style>
  <w:style w:type="character" w:customStyle="1" w:styleId="45">
    <w:name w:val="正文文本缩进 字符"/>
    <w:basedOn w:val="26"/>
    <w:link w:val="11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6">
    <w:name w:val="正文文本首行缩进 2 字符"/>
    <w:basedOn w:val="45"/>
    <w:link w:val="2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7">
    <w:name w:val="正文缩进 字符"/>
    <w:link w:val="4"/>
    <w:qFormat/>
    <w:uiPriority w:val="0"/>
    <w:rPr>
      <w:rFonts w:ascii="仿宋_GB2312"/>
      <w:kern w:val="2"/>
      <w:sz w:val="24"/>
    </w:rPr>
  </w:style>
  <w:style w:type="paragraph" w:customStyle="1" w:styleId="48">
    <w:name w:val="List Paragraph1"/>
    <w:basedOn w:val="1"/>
    <w:qFormat/>
    <w:uiPriority w:val="34"/>
    <w:pPr>
      <w:ind w:left="820" w:hanging="52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1177</Characters>
  <Lines>224</Lines>
  <Paragraphs>63</Paragraphs>
  <TotalTime>1</TotalTime>
  <ScaleCrop>false</ScaleCrop>
  <LinksUpToDate>false</LinksUpToDate>
  <CharactersWithSpaces>1181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2023-02-11T09:49:00Z</dcterms:created>
  <dc:creator>陌生人！请不要靠近</dc:creator>
  <cp:lastModifiedBy>任伟维</cp:lastModifiedBy>
  <dcterms:modified xsi:type="dcterms:W3CDTF">2025-05-29T03:08:00Z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8E4AD719C9A841D9A1BB3DA15DFE599C_13</vt:lpwstr>
  </property>
  <property fmtid="{D5CDD505-2E9C-101B-9397-08002B2CF9AE}" pid="4" name="KSOTemplateDocerSaveRecord">
    <vt:lpwstr>eyJoZGlkIjoiNjc1NTYzZjU5YzRjNzdkYzEzNTdjOTRiZDI5NDk4NWMiLCJ1c2VySWQiOiIyMzc0Mjk1OTMifQ==</vt:lpwstr>
  </property>
</Properties>
</file>