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6B" w:rsidRPr="003D0164" w:rsidRDefault="00473405" w:rsidP="003D0164">
      <w:pPr>
        <w:pStyle w:val="a3"/>
        <w:spacing w:line="360" w:lineRule="auto"/>
        <w:ind w:right="-107"/>
        <w:jc w:val="center"/>
        <w:rPr>
          <w:rFonts w:ascii="宋体" w:hAnsi="宋体" w:cs="宋体" w:hint="eastAsia"/>
        </w:rPr>
      </w:pPr>
      <w:r w:rsidRPr="00473405">
        <w:rPr>
          <w:rFonts w:ascii="宋体" w:hAnsi="宋体" w:cs="宋体" w:hint="eastAsia"/>
          <w:sz w:val="32"/>
          <w:szCs w:val="44"/>
        </w:rPr>
        <w:t>湛江中心人民医院拟购院内地面交通和地下停车场保安服务项目</w:t>
      </w:r>
      <w:r w:rsidR="003D0164" w:rsidRPr="003D0164">
        <w:rPr>
          <w:rFonts w:ascii="宋体" w:hAnsi="宋体" w:cs="宋体" w:hint="eastAsia"/>
          <w:sz w:val="32"/>
          <w:szCs w:val="44"/>
        </w:rPr>
        <w:t>需求书</w:t>
      </w:r>
    </w:p>
    <w:p w:rsidR="003D0164" w:rsidRDefault="003D0164">
      <w:pPr>
        <w:pStyle w:val="a3"/>
        <w:spacing w:line="360" w:lineRule="auto"/>
        <w:ind w:right="-107" w:firstLineChars="200" w:firstLine="482"/>
        <w:rPr>
          <w:rFonts w:ascii="宋体" w:hAnsi="宋体" w:cs="宋体"/>
          <w:b/>
          <w:sz w:val="24"/>
        </w:rPr>
      </w:pPr>
    </w:p>
    <w:p w:rsidR="00183B6B" w:rsidRDefault="00183B6B">
      <w:pPr>
        <w:pStyle w:val="a3"/>
        <w:spacing w:line="360" w:lineRule="auto"/>
        <w:ind w:right="-107" w:firstLineChars="200" w:firstLine="482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b/>
          <w:sz w:val="24"/>
        </w:rPr>
        <w:t>一、项目名称：</w:t>
      </w:r>
      <w:r w:rsidR="00473405" w:rsidRPr="00473405">
        <w:rPr>
          <w:rFonts w:ascii="宋体" w:hAnsi="宋体" w:cs="宋体" w:hint="eastAsia"/>
          <w:sz w:val="24"/>
        </w:rPr>
        <w:t>湛江中心人民医院拟购院内地面交通和地下停车场保安服务项目</w:t>
      </w:r>
    </w:p>
    <w:p w:rsidR="00183B6B" w:rsidRDefault="00183B6B">
      <w:pPr>
        <w:spacing w:line="480" w:lineRule="exact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sz w:val="24"/>
        </w:rPr>
        <w:t>二、预算总价：</w:t>
      </w:r>
      <w:r>
        <w:rPr>
          <w:rFonts w:ascii="宋体" w:hAnsi="宋体" w:cs="宋体" w:hint="eastAsia"/>
          <w:b/>
          <w:sz w:val="24"/>
          <w:u w:val="single"/>
        </w:rPr>
        <w:t xml:space="preserve">            </w:t>
      </w:r>
      <w:r>
        <w:rPr>
          <w:rFonts w:ascii="宋体" w:hAnsi="宋体" w:cs="宋体" w:hint="eastAsia"/>
          <w:sz w:val="24"/>
        </w:rPr>
        <w:t>，投标报价为全包价，包括本项目的人工费、管理费用、安全保卫工作、各种税费、不可预见费用和完成本采购项目内容所需的一切费用。如果中标人在中标或合同履行过程中，出现任何遗漏内容需产生额外费用，均由中标人自行承担，中标价不得因任何因素上调，采购人将不再支付任何其他费用。</w:t>
      </w:r>
    </w:p>
    <w:p w:rsidR="00183B6B" w:rsidRDefault="00183B6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三、服务期限：</w:t>
      </w:r>
      <w:r>
        <w:rPr>
          <w:rFonts w:ascii="宋体" w:hAnsi="宋体" w:cs="宋体" w:hint="eastAsia"/>
          <w:sz w:val="24"/>
        </w:rPr>
        <w:t>本项目服务期为</w:t>
      </w:r>
      <w:r>
        <w:rPr>
          <w:rFonts w:ascii="宋体" w:hAnsi="宋体" w:cs="宋体" w:hint="eastAsia"/>
          <w:sz w:val="24"/>
          <w:u w:val="single"/>
        </w:rPr>
        <w:t xml:space="preserve">   一  </w:t>
      </w:r>
      <w:r>
        <w:rPr>
          <w:rFonts w:ascii="宋体" w:hAnsi="宋体" w:cs="宋体" w:hint="eastAsia"/>
          <w:sz w:val="24"/>
        </w:rPr>
        <w:t>年。具体时间以采购人与中标人签订的合同中的时间为准。</w:t>
      </w:r>
    </w:p>
    <w:p w:rsidR="00183B6B" w:rsidRDefault="00183B6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sz w:val="24"/>
        </w:rPr>
        <w:t>四、服务范围：</w:t>
      </w:r>
      <w:r>
        <w:rPr>
          <w:rFonts w:ascii="宋体" w:hAnsi="宋体" w:cs="宋体" w:hint="eastAsia"/>
          <w:sz w:val="24"/>
        </w:rPr>
        <w:t>湛江中心人民</w:t>
      </w:r>
      <w:r w:rsidRPr="00473405">
        <w:rPr>
          <w:rFonts w:ascii="宋体" w:hAnsi="宋体" w:cs="宋体" w:hint="eastAsia"/>
          <w:sz w:val="24"/>
        </w:rPr>
        <w:t>医院院内地面交通和</w:t>
      </w:r>
      <w:r>
        <w:rPr>
          <w:rFonts w:ascii="宋体" w:hAnsi="宋体" w:cs="宋体" w:hint="eastAsia"/>
          <w:sz w:val="24"/>
        </w:rPr>
        <w:t>地下停车场（负一负二两层）。</w:t>
      </w:r>
    </w:p>
    <w:p w:rsidR="00183B6B" w:rsidRDefault="00183B6B">
      <w:pPr>
        <w:spacing w:line="48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五、服务内容及服务基本要求：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（一）服务内容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对采购单位的服务区域进行治安安全管理合理利用安防和技防措施，维护采购单位合法财产、设施设备安全，及时准确处理各类突发事件，保证员工和群众人身安全不受侵犯，确保服务范围内的秩序稳定和治安安全。内容主要包括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1、地面交通保安管理职责（4班，10人）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全面负责医院地面公共道路、各楼宇周边交通秩序维护，合理疏导进出院区车辆，及时劝阻、纠正车辆违停、逆行、占道等违规行为，保障地面交通畅通有序；引导行人安全通行，防范人车混行安全风险；加强新能源车起火应急处置流程；排查车辆自燃隐患，发现异常第一时间处置上报；配合处理地面交通剐蹭等突发情况；做好地面交通设施日常巡查，发现损坏及时上报；协助开展院区安全巡逻，配合处置各类突发应急事件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2、地下停车场（负一负二两层）保安管理职责（4班，14人）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负责地下停车场24小时值守管理，规范引导车辆进出、有序停放，合理规</w:t>
      </w:r>
      <w:r>
        <w:rPr>
          <w:rFonts w:ascii="宋体" w:hAnsi="宋体" w:cs="宋体" w:hint="eastAsia"/>
          <w:sz w:val="24"/>
        </w:rPr>
        <w:lastRenderedPageBreak/>
        <w:t>划车位使用，提高车场利用率；做好地下停车场消防设施、监控设备日常巡查，及时排查安全隐患；加强新能源车起火应急处置流程；排查车辆自燃隐患，发现异常第一时间处置上报；负责车场环境卫生监督、车辆安全防范，防范车辆剐蹭、物品丢失等问题；处置车场内部突发状况，配合做好车场收费监管；严格落实医院安全管理规定，做好地下区域安全防控工作。完成医院交办的其他临时性安保相关工作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3、配合采购人拟定服务区域相关人员和装备配备、工作流程和巡查检查机制，采购人可根据实际运宫需求调整岗位设置与工作内容。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4、完成采购人交办的各项临时性、应急性安保任务。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、地下停车场日常消防安全巡查、火情初期处置、应急报警、消防设施日常检查及通道管控等工作，均属保安外包公司应履行的安保服务职责。如经调查核实，事故系保安人员履职不到位、巡查缺位、处置迟缓、未及时上报消防设施隐患等失职行为造成，或因上述原因导致火势蔓延、损失扩大的，相应安全管理责任及赔偿责任由中标服务公司承担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（二）基本要求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1.中标服务公司需满足《中华人民共和国政府采购法》和《保安服务管理条例》有关资格要求。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color w:val="FF0000"/>
          <w:sz w:val="24"/>
        </w:rPr>
      </w:pPr>
      <w:r>
        <w:rPr>
          <w:rFonts w:ascii="宋体" w:hAnsi="宋体" w:cs="宋体" w:hint="eastAsia"/>
          <w:sz w:val="24"/>
        </w:rPr>
        <w:t>2.安保人员管理、用工及相关纷纷由中标方全权负责，本项目固定配置安保人员24</w:t>
      </w:r>
      <w:r>
        <w:rPr>
          <w:rFonts w:ascii="宋体" w:hAnsi="宋体" w:cs="宋体" w:hint="eastAsia"/>
          <w:color w:val="000000"/>
          <w:sz w:val="24"/>
        </w:rPr>
        <w:t>人。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3.保安工作时间、排班制度严格遵守《中华人民共和国劳动法》相关规定。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4.每月5日前向采购单位主管部门汇报上月工作小结，落实整改意见。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5.每半年向采购单位主管部门报送在岗人员无犯罪记录证明。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6.保安员有关资料需向采购单位提供备案。如：保安证、身份证、资格证、体检表等（可复印件）。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7.定期对安保人员开展礼仪、防卫、管理、急救、反恐、灭火和疏散、应急情况处置等方面的技术和能力培训。适时开展体能训练。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8.履行投标文件中承诺且经采购人认可的其他服务事项。</w:t>
      </w:r>
    </w:p>
    <w:p w:rsidR="00183B6B" w:rsidRDefault="00183B6B">
      <w:pPr>
        <w:spacing w:line="48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六、权利和义务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（一）湛江中心人民医院的权利和义务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1.制定《湛江中心人民医院保安服务质量考核表》，每月对服务情况进行一次全面的考核评定，考评结果与服务费直接挂钩，具体如下：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（1）得分≥90分的，免扣；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（2）80≤得分&lt;90分的，扣当月服务费的5%；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（3）75≤得分&lt;80分的，扣当月服务费的10%；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（4）得分&lt;75分的，书面向中标方发出整改通知，扣当月服务费的30%；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（5）连续2个月得分&lt;75分的，有权解除本合同；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《湛江中心人民医院保安服务质量考核表》的内容可由采购方和中标方共同商议决定，并可结合实际情况定期共同修改。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2.考评内容不达标的项目，由双方协定合理期限整改，在规定期限内扔达不到要求或未经验收合格的，应无偿返工，直至验收合格为止，因服务或考核项目不合格造成影响的，由中标方承担后果，并负相应责任。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3.保安人员违规操作、擅自行动，造成甲方人员安全及财产重大损失的，甲方有权立即解除合同。</w:t>
      </w:r>
    </w:p>
    <w:p w:rsidR="00183B6B" w:rsidRDefault="00183B6B">
      <w:pPr>
        <w:spacing w:line="480" w:lineRule="exact"/>
        <w:ind w:firstLineChars="150" w:firstLine="36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（二）服务公司（乙方）权利和义务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1.合同签订后7个工作日内与采购人主管部门对接，明确细化服务方案与工作流程。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2.根据有关法律、法规及本合同的规定，向采购单位报备本项目服务的各项管理办法、规章制度和实施细则，并根据采购单位提出的意见进行修改。在各服务点做到各项制度、服务人员等信息公开。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对委托服务项目内的相关设施和设备不得擅自占用或改变使用功能,合同期满且双方不再续签时，保证各类设备、设施完好。合同期内如因中标方人员造成损坏，由中标方及时修复或赔偿，如不能及时修复或达不到采购单位要求的，相应费用从服务费中扣除，后果由中标方承担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4.接受政府有关主管部门及湛江中心人民医院管理部门的监督、指导，按照合同内容和考核标准，保质保量完成工作任务。</w:t>
      </w:r>
    </w:p>
    <w:p w:rsidR="00183B6B" w:rsidRPr="00473405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5.按照《保安服务管理条例》提供服务，所有服务人员需经过专业保安培训机构进行培训，并获得由公安机关颁发的保安证，体检合</w:t>
      </w:r>
      <w:r w:rsidRPr="00473405">
        <w:rPr>
          <w:rFonts w:ascii="宋体" w:hAnsi="宋体" w:cs="宋体" w:hint="eastAsia"/>
          <w:sz w:val="24"/>
        </w:rPr>
        <w:t>格，持有无犯罪记录证明。</w:t>
      </w:r>
    </w:p>
    <w:p w:rsidR="00183B6B" w:rsidRPr="00473405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 w:rsidRPr="00473405">
        <w:rPr>
          <w:rFonts w:ascii="宋体" w:hAnsi="宋体" w:cs="宋体" w:hint="eastAsia"/>
          <w:sz w:val="24"/>
        </w:rPr>
        <w:lastRenderedPageBreak/>
        <w:t>6.在服务范围内合理配备人员，如因实际工作导致人员不足，则自行增派。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7.严格遵守国家和当地政府有关劳动、报酬、社会保障方面的法律法规，与派驻的服务人员签订劳动合同，办理社保等应当办理的手续，按时支付酬劳。在本合同有效期限内，如保安人员自身存在劳务纠纷问题，则自行解决，并确保本项目服务不受任何影响，不得因劳务纠纷影响合同履行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各类人员尽职尽责，不违反法律、法规和有关规章制度，对于酗酒、赌博、吸毒、盗窃、嫖娼等违法犯罪行为，一经发现，由中标方和当事人承担相应法律责任，且该工作人员不得再次服务于本项目。如因个人身体、社会和家庭纠纷、第三方以及自然不可抗力因素等原因造成的任何损害（包括财产、人身）的，由中标方和个人承担全部责任。</w:t>
      </w:r>
    </w:p>
    <w:p w:rsidR="00183B6B" w:rsidRDefault="00183B6B">
      <w:pPr>
        <w:spacing w:line="480" w:lineRule="exact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七、付款结算与验收：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（一）付款方式：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1、乙方提供上一季度的工作总</w:t>
      </w:r>
      <w:r w:rsidRPr="00473405">
        <w:rPr>
          <w:rFonts w:ascii="宋体" w:hAnsi="宋体" w:cs="宋体" w:hint="eastAsia"/>
          <w:sz w:val="24"/>
        </w:rPr>
        <w:t>结以及考核结果相关资料，</w:t>
      </w:r>
      <w:r>
        <w:rPr>
          <w:rFonts w:ascii="宋体" w:hAnsi="宋体" w:cs="宋体" w:hint="eastAsia"/>
          <w:sz w:val="24"/>
        </w:rPr>
        <w:t>经甲方审核无误后，乙方凭请款证明、中标通知书复印件、合同复印件、乙方开具的正式发票与甲方结算上一季度的服务费。维保费每季度支付一次，即每年服务费用的25%。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2、甲方凭乙方开具的合法有效的合格发票履行上述付款义务，乙方无法开具合格全额发票或发票金额低于支付金额，甲方有权延迟付款，由乙方承担相应的法律责任.,并不视为甲方违约。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3、乙方同意：甲方根据本合同规定支付合同价款前，有权先行抵扣乙方应于相应各期内承担的违约金、赔偿金、及其他费用（以甲方确认为准），再支付抵扣后的剩余款项（如有）。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4、甲方可将本合同项下的货款支付至乙方以下银行账户，乙方应对该收款账户的真实性、合法性和一致性负责：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开户银行：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账户名称：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银行账号：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乙方如需变更该收款账户的，必须提前5个工作日书面通知甲方，否则由此引发的一切责任均由乙方承担。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（二）验收：</w:t>
      </w:r>
    </w:p>
    <w:p w:rsidR="00183B6B" w:rsidRDefault="00183B6B">
      <w:pPr>
        <w:spacing w:line="48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每服务满3个月后的10个工作日内，甲、乙双方根据招标文件、投标文件及合同的相关内容共同验收。</w:t>
      </w:r>
    </w:p>
    <w:p w:rsidR="00183B6B" w:rsidRDefault="00183B6B">
      <w:pPr>
        <w:spacing w:line="480" w:lineRule="exac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八、履约验收考核</w:t>
      </w:r>
    </w:p>
    <w:p w:rsidR="00372BBA" w:rsidRPr="00372BBA" w:rsidRDefault="00183B6B" w:rsidP="00372BBA">
      <w:pPr>
        <w:spacing w:line="480" w:lineRule="exact"/>
        <w:ind w:firstLineChars="600" w:firstLine="1680"/>
        <w:rPr>
          <w:rFonts w:hint="eastAsia"/>
          <w:szCs w:val="21"/>
        </w:rPr>
      </w:pPr>
      <w:r>
        <w:rPr>
          <w:rFonts w:ascii="宋体" w:hAnsi="宋体" w:cs="宋体" w:hint="eastAsia"/>
          <w:sz w:val="28"/>
          <w:szCs w:val="28"/>
        </w:rPr>
        <w:t>湛江中心人民医院保安服务质量考核表</w:t>
      </w:r>
      <w:r>
        <w:rPr>
          <w:rFonts w:hint="eastAsia"/>
          <w:sz w:val="15"/>
          <w:szCs w:val="15"/>
        </w:rPr>
        <w:t xml:space="preserve"> </w:t>
      </w:r>
    </w:p>
    <w:tbl>
      <w:tblPr>
        <w:tblW w:w="89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4607"/>
        <w:gridCol w:w="1632"/>
        <w:gridCol w:w="737"/>
        <w:gridCol w:w="737"/>
      </w:tblGrid>
      <w:tr w:rsidR="00183B6B">
        <w:tc>
          <w:tcPr>
            <w:tcW w:w="1191" w:type="dxa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考核项目</w:t>
            </w:r>
          </w:p>
        </w:tc>
        <w:tc>
          <w:tcPr>
            <w:tcW w:w="4607" w:type="dxa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考核内容</w:t>
            </w:r>
          </w:p>
        </w:tc>
        <w:tc>
          <w:tcPr>
            <w:tcW w:w="1632" w:type="dxa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扣分标准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分值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总分</w:t>
            </w:r>
          </w:p>
        </w:tc>
      </w:tr>
      <w:tr w:rsidR="00183B6B">
        <w:tc>
          <w:tcPr>
            <w:tcW w:w="1191" w:type="dxa"/>
            <w:vMerge w:val="restart"/>
            <w:vAlign w:val="center"/>
          </w:tcPr>
          <w:p w:rsidR="00183B6B" w:rsidRDefault="00183B6B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2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仪容仪表</w:t>
            </w:r>
          </w:p>
          <w:p w:rsidR="00183B6B" w:rsidRDefault="00183B6B">
            <w:pPr>
              <w:pStyle w:val="1"/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（10分）</w:t>
            </w:r>
          </w:p>
          <w:p w:rsidR="00183B6B" w:rsidRDefault="00183B6B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pStyle w:val="1"/>
              <w:spacing w:line="300" w:lineRule="exact"/>
              <w:rPr>
                <w:rFonts w:ascii="宋体" w:hAnsi="宋体" w:cs="宋体" w:hint="eastAsia"/>
                <w:sz w:val="21"/>
                <w:szCs w:val="21"/>
              </w:rPr>
            </w:pPr>
          </w:p>
          <w:p w:rsidR="00183B6B" w:rsidRDefault="00183B6B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pStyle w:val="1"/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</w:p>
          <w:p w:rsidR="00183B6B" w:rsidRDefault="00183B6B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（10分）</w:t>
            </w: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1、穿着统一制服、佩戴工牌、携带其他必要装备等，如对讲机、手电筒、警械等。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90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2、仪表端庄，衣着得体，不得穿短裤、背心、拖鞋，不准留长发、胡须、留长指甲。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hRule="exact" w:val="1134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举止文明大方，动作手势规范、准确、有力;不得将手插入口袋，不勾肩搭背，不随地吐痰，不在禁烟区吸烟等。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c>
          <w:tcPr>
            <w:tcW w:w="1191" w:type="dxa"/>
            <w:vMerge w:val="restart"/>
          </w:tcPr>
          <w:p w:rsidR="00183B6B" w:rsidRDefault="00183B6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服务态度</w:t>
            </w:r>
          </w:p>
          <w:p w:rsidR="00183B6B" w:rsidRDefault="00183B6B">
            <w:pPr>
              <w:pStyle w:val="1"/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（10分）</w:t>
            </w: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1、微笑服务，精神饱满、热情，使用礼貌用语。文明值勤，礼貌服务，热情待人接物。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749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2、服务意识良好，能够虚心接受群众和他人的意见，时刻注重自身形象和举止。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hRule="exact" w:val="850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3、工作积极主动，团结氛围良好。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1474"/>
        </w:trPr>
        <w:tc>
          <w:tcPr>
            <w:tcW w:w="1191" w:type="dxa"/>
            <w:vMerge w:val="restart"/>
          </w:tcPr>
          <w:p w:rsidR="00183B6B" w:rsidRDefault="00183B6B">
            <w:pPr>
              <w:spacing w:line="48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48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48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48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4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工作纪律（30分）</w:t>
            </w: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1、遵守国家法律、法规，遵守社会公德及职业道德，遵守医院的各项规章制度，讲究社会公德和职业道德，严守秘密，廉洁奉公，维护集体利益和声誉。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1227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2、按规定时间上、下班，不得迟到、早退，不得擅自离岗、脱岗、串岗、睡岗，不得旷工。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1183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3、上班不做与本职工作无关的事情，如睡觉、看书、听收音机、玩手机、闲聊、抽烟、吃东西、喝酒或酒后上班等。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1241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4、熟练掌握各类应急突发事件的处置流程，有效保护场所的人身安全，及时有效控制突发事件（3分钟内到现场）。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每违反1项/1次扣1分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1539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5、服从领导、听从指挥、团结同事、互帮互助、按时按质完成各项工作任务。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每违反1项/1次扣1分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924"/>
        </w:trPr>
        <w:tc>
          <w:tcPr>
            <w:tcW w:w="1191" w:type="dxa"/>
            <w:vMerge w:val="restart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日常管理</w:t>
            </w:r>
          </w:p>
          <w:p w:rsidR="00183B6B" w:rsidRDefault="00183B6B">
            <w:pPr>
              <w:pStyle w:val="1"/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（20分）</w:t>
            </w: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1、安保工作人员年龄、文化程度、身体素质、基本技能等符合条件。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每违反1项/1次扣1分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924"/>
        </w:trPr>
        <w:tc>
          <w:tcPr>
            <w:tcW w:w="1191" w:type="dxa"/>
            <w:vMerge/>
          </w:tcPr>
          <w:p w:rsidR="00183B6B" w:rsidRDefault="00183B6B">
            <w:pPr>
              <w:pStyle w:val="1"/>
              <w:spacing w:line="240" w:lineRule="auto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2、按岗位足额配置保安。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每违反1项/1次扣1分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719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3、按规定执勤和巡查，如实作好记录，书写要求规范，及时报告和处理发生的案件。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1134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4、执勤中私自扣留的物品或证件的，或擅自处理或挪用的。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每违反1项/1次扣0.5分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689"/>
        </w:trPr>
        <w:tc>
          <w:tcPr>
            <w:tcW w:w="1191" w:type="dxa"/>
            <w:vMerge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5、节约用水用电。</w:t>
            </w: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每违反1项/1次扣1分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5592"/>
        </w:trPr>
        <w:tc>
          <w:tcPr>
            <w:tcW w:w="1191" w:type="dxa"/>
          </w:tcPr>
          <w:p w:rsidR="00183B6B" w:rsidRDefault="00183B6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pStyle w:val="1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车辆管理（30分）</w:t>
            </w:r>
          </w:p>
          <w:p w:rsidR="00183B6B" w:rsidRDefault="00183B6B">
            <w:pPr>
              <w:pStyle w:val="1"/>
              <w:rPr>
                <w:rFonts w:ascii="宋体" w:hAnsi="宋体" w:hint="eastAsia"/>
                <w:sz w:val="21"/>
                <w:szCs w:val="21"/>
              </w:rPr>
            </w:pPr>
          </w:p>
          <w:p w:rsidR="00183B6B" w:rsidRDefault="00183B6B">
            <w:pPr>
              <w:pStyle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07" w:type="dxa"/>
            <w:vAlign w:val="center"/>
          </w:tcPr>
          <w:p w:rsidR="00183B6B" w:rsidRDefault="00183B6B">
            <w:pPr>
              <w:spacing w:line="48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地下停车场值守管理，规范引导车辆进出、有序停放，合理规划车位使用，提高车场利用率；做好地下停车场消防设施、监控设备日常巡查，及时排查安全隐患；加强新能源车起火应急处置流程；排查车辆自燃隐患，发现异常第一时间处置上报；负责车场环境卫生监督、车辆安全防范，防范车辆剐蹭、物品丢失等问题；处置停车场内部突发状况，配合做好车场收费监管；严格落实医院安全管理规定，做好地下区域安全防控工作。完成医院交办的其他临时性安保相关工作。</w:t>
            </w:r>
          </w:p>
          <w:p w:rsidR="00183B6B" w:rsidRDefault="00183B6B">
            <w:pPr>
              <w:spacing w:line="48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</w:p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183B6B" w:rsidRDefault="00183B6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每违反1项/1次扣1分</w:t>
            </w:r>
          </w:p>
        </w:tc>
        <w:tc>
          <w:tcPr>
            <w:tcW w:w="737" w:type="dxa"/>
            <w:vAlign w:val="center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737" w:type="dxa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183B6B">
        <w:trPr>
          <w:trHeight w:val="715"/>
        </w:trPr>
        <w:tc>
          <w:tcPr>
            <w:tcW w:w="1191" w:type="dxa"/>
          </w:tcPr>
          <w:p w:rsidR="00183B6B" w:rsidRDefault="00183B6B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总分</w:t>
            </w:r>
          </w:p>
        </w:tc>
        <w:tc>
          <w:tcPr>
            <w:tcW w:w="7713" w:type="dxa"/>
            <w:gridSpan w:val="4"/>
            <w:vAlign w:val="center"/>
          </w:tcPr>
          <w:p w:rsidR="00183B6B" w:rsidRDefault="00183B6B">
            <w:pPr>
              <w:spacing w:line="480" w:lineRule="exac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183B6B" w:rsidRDefault="00183B6B">
      <w:pPr>
        <w:spacing w:line="480" w:lineRule="exact"/>
        <w:rPr>
          <w:rFonts w:ascii="宋体" w:hAnsi="宋体" w:cs="宋体" w:hint="eastAsia"/>
          <w:sz w:val="24"/>
        </w:rPr>
      </w:pPr>
    </w:p>
    <w:p w:rsidR="00183B6B" w:rsidRDefault="00183B6B">
      <w:pPr>
        <w:spacing w:line="48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考评人签名：                         被考评对象签名：     </w:t>
      </w:r>
    </w:p>
    <w:p w:rsidR="00183B6B" w:rsidRDefault="00183B6B">
      <w:pPr>
        <w:spacing w:line="48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日期：  </w:t>
      </w:r>
      <w:bookmarkStart w:id="0" w:name="_GoBack"/>
      <w:bookmarkEnd w:id="0"/>
    </w:p>
    <w:sectPr w:rsidR="00183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D7" w:rsidRDefault="001573D7">
      <w:r>
        <w:separator/>
      </w:r>
    </w:p>
  </w:endnote>
  <w:endnote w:type="continuationSeparator" w:id="0">
    <w:p w:rsidR="001573D7" w:rsidRDefault="0015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6B" w:rsidRDefault="00183B6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6B" w:rsidRDefault="0047340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B6B" w:rsidRDefault="00183B6B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73405" w:rsidRPr="00473405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473405" w:rsidRPr="00473405">
                              <w:rPr>
                                <w:noProof/>
                                <w:lang w:val="en-US" w:eastAsia="zh-CN"/>
                              </w:rPr>
                              <w:t>6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mE/jLbYCAACnBQAADgAA&#10;AAAAAAAAAAAAAAAuAgAAZHJzL2Uyb0RvYy54bWxQSwECLQAUAAYACAAAACEAFZI3eNgAAAAEAQAA&#10;DwAAAAAAAAAAAAAAAAAQBQAAZHJzL2Rvd25yZXYueG1sUEsFBgAAAAAEAAQA8wAAABUGAAAAAA==&#10;" filled="f" stroked="f">
              <v:textbox style="mso-fit-shape-to-text:t" inset="0,0,0,0">
                <w:txbxContent>
                  <w:p w:rsidR="00183B6B" w:rsidRDefault="00183B6B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73405" w:rsidRPr="00473405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473405" w:rsidRPr="00473405">
                        <w:rPr>
                          <w:noProof/>
                          <w:lang w:val="en-US" w:eastAsia="zh-CN"/>
                        </w:rPr>
                        <w:t>6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6B" w:rsidRDefault="00183B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D7" w:rsidRDefault="001573D7">
      <w:r>
        <w:separator/>
      </w:r>
    </w:p>
  </w:footnote>
  <w:footnote w:type="continuationSeparator" w:id="0">
    <w:p w:rsidR="001573D7" w:rsidRDefault="00157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6B" w:rsidRDefault="00183B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6B" w:rsidRDefault="00183B6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B6B" w:rsidRDefault="00183B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7D0693"/>
    <w:multiLevelType w:val="singleLevel"/>
    <w:tmpl w:val="917D0693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kNjJmYzJmMzk0ZGRkN2I5YjBjOTVhNTAzYWE3ODkifQ=="/>
  </w:docVars>
  <w:rsids>
    <w:rsidRoot w:val="00684BC8"/>
    <w:rsid w:val="000C6842"/>
    <w:rsid w:val="001573D7"/>
    <w:rsid w:val="00183B6B"/>
    <w:rsid w:val="001C290B"/>
    <w:rsid w:val="0031705A"/>
    <w:rsid w:val="00372BBA"/>
    <w:rsid w:val="0038543E"/>
    <w:rsid w:val="003D0164"/>
    <w:rsid w:val="00413194"/>
    <w:rsid w:val="00473405"/>
    <w:rsid w:val="00483219"/>
    <w:rsid w:val="00565BD5"/>
    <w:rsid w:val="005E327F"/>
    <w:rsid w:val="0061647E"/>
    <w:rsid w:val="00684BC8"/>
    <w:rsid w:val="006B39D2"/>
    <w:rsid w:val="006B563F"/>
    <w:rsid w:val="006C55DC"/>
    <w:rsid w:val="00796D1F"/>
    <w:rsid w:val="00797137"/>
    <w:rsid w:val="008C035A"/>
    <w:rsid w:val="008C1B44"/>
    <w:rsid w:val="008F68CA"/>
    <w:rsid w:val="009969ED"/>
    <w:rsid w:val="009B27FA"/>
    <w:rsid w:val="00A12A9A"/>
    <w:rsid w:val="00A2317A"/>
    <w:rsid w:val="00CE540B"/>
    <w:rsid w:val="00D720C7"/>
    <w:rsid w:val="00E74621"/>
    <w:rsid w:val="00ED6E31"/>
    <w:rsid w:val="00F439C7"/>
    <w:rsid w:val="00FE5DDF"/>
    <w:rsid w:val="01E11130"/>
    <w:rsid w:val="02687FE0"/>
    <w:rsid w:val="02E72D2B"/>
    <w:rsid w:val="03672DC7"/>
    <w:rsid w:val="044B081E"/>
    <w:rsid w:val="07180525"/>
    <w:rsid w:val="08E05FE6"/>
    <w:rsid w:val="0946657C"/>
    <w:rsid w:val="0B8A0E15"/>
    <w:rsid w:val="0CE72B65"/>
    <w:rsid w:val="0E077489"/>
    <w:rsid w:val="0E426C3E"/>
    <w:rsid w:val="0FB46F59"/>
    <w:rsid w:val="0FF474B6"/>
    <w:rsid w:val="122A5F47"/>
    <w:rsid w:val="12403417"/>
    <w:rsid w:val="12804187"/>
    <w:rsid w:val="12C70D3C"/>
    <w:rsid w:val="14972381"/>
    <w:rsid w:val="159A517C"/>
    <w:rsid w:val="159C373E"/>
    <w:rsid w:val="16DE4040"/>
    <w:rsid w:val="1AA43102"/>
    <w:rsid w:val="1CC90A05"/>
    <w:rsid w:val="1E11637B"/>
    <w:rsid w:val="21A03BE3"/>
    <w:rsid w:val="21A37ABC"/>
    <w:rsid w:val="231A5350"/>
    <w:rsid w:val="241B45F6"/>
    <w:rsid w:val="25DA727F"/>
    <w:rsid w:val="279E30D7"/>
    <w:rsid w:val="27F61922"/>
    <w:rsid w:val="29F64FFC"/>
    <w:rsid w:val="2A48639C"/>
    <w:rsid w:val="2D144117"/>
    <w:rsid w:val="2E84707B"/>
    <w:rsid w:val="2EDB7AB7"/>
    <w:rsid w:val="2FDD109A"/>
    <w:rsid w:val="31EA3699"/>
    <w:rsid w:val="32FA05B8"/>
    <w:rsid w:val="343E7CCC"/>
    <w:rsid w:val="346C7CD4"/>
    <w:rsid w:val="367E310A"/>
    <w:rsid w:val="36BB3856"/>
    <w:rsid w:val="36D5218F"/>
    <w:rsid w:val="36EB63C3"/>
    <w:rsid w:val="39253807"/>
    <w:rsid w:val="3ACE5AEA"/>
    <w:rsid w:val="3AD70E7F"/>
    <w:rsid w:val="3B6A72EF"/>
    <w:rsid w:val="3FCD607D"/>
    <w:rsid w:val="41316FB6"/>
    <w:rsid w:val="42093C6B"/>
    <w:rsid w:val="46210AB2"/>
    <w:rsid w:val="46DA48B8"/>
    <w:rsid w:val="47342807"/>
    <w:rsid w:val="476541B5"/>
    <w:rsid w:val="478362A0"/>
    <w:rsid w:val="48C90B09"/>
    <w:rsid w:val="48FD5017"/>
    <w:rsid w:val="492504A2"/>
    <w:rsid w:val="4C097D8D"/>
    <w:rsid w:val="4DFF2D81"/>
    <w:rsid w:val="4FF8308E"/>
    <w:rsid w:val="50BA16F2"/>
    <w:rsid w:val="56E97C6A"/>
    <w:rsid w:val="57947BD0"/>
    <w:rsid w:val="59AD45FE"/>
    <w:rsid w:val="5A1B181B"/>
    <w:rsid w:val="5ABF5222"/>
    <w:rsid w:val="5D3C6BEF"/>
    <w:rsid w:val="5DF31D98"/>
    <w:rsid w:val="5E4A6E47"/>
    <w:rsid w:val="604E1365"/>
    <w:rsid w:val="607E2629"/>
    <w:rsid w:val="60C146FD"/>
    <w:rsid w:val="63EC71D0"/>
    <w:rsid w:val="65340DFB"/>
    <w:rsid w:val="66335A00"/>
    <w:rsid w:val="66CB4208"/>
    <w:rsid w:val="66F94254"/>
    <w:rsid w:val="675D5674"/>
    <w:rsid w:val="68C17BA1"/>
    <w:rsid w:val="68DE4FFE"/>
    <w:rsid w:val="68FC6ED1"/>
    <w:rsid w:val="6A130D5F"/>
    <w:rsid w:val="6A6D1720"/>
    <w:rsid w:val="6AAB0F10"/>
    <w:rsid w:val="6EFC6301"/>
    <w:rsid w:val="6F753977"/>
    <w:rsid w:val="6FB865A9"/>
    <w:rsid w:val="71C80810"/>
    <w:rsid w:val="73C70019"/>
    <w:rsid w:val="740060FF"/>
    <w:rsid w:val="746500DA"/>
    <w:rsid w:val="758A27C2"/>
    <w:rsid w:val="78A70F68"/>
    <w:rsid w:val="79AB0DCB"/>
    <w:rsid w:val="79FF3FFE"/>
    <w:rsid w:val="7D6F58EB"/>
    <w:rsid w:val="7E1378F0"/>
    <w:rsid w:val="7E593B47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D56754-3831-4032-8D6C-C54413C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649</Words>
  <Characters>3705</Characters>
  <Application>Microsoft Office Word</Application>
  <DocSecurity>0</DocSecurity>
  <Lines>30</Lines>
  <Paragraphs>8</Paragraphs>
  <ScaleCrop>false</ScaleCrop>
  <Company>微软中国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2026-04-08T08:46:00Z</cp:lastPrinted>
  <dcterms:created xsi:type="dcterms:W3CDTF">2026-04-14T07:46:00Z</dcterms:created>
  <dcterms:modified xsi:type="dcterms:W3CDTF">2026-04-14T07:46:00Z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DDCBBF9588C94B49A514390C60F63BE1_12</vt:lpwstr>
  </property>
  <property fmtid="{D5CDD505-2E9C-101B-9397-08002B2CF9AE}" pid="4" name="KSOTemplateDocerSaveRecord">
    <vt:lpwstr>eyJoZGlkIjoiYmRjYWU1NTk0MGVmYzQyMzE0NDI0YzlkMzFlMWYxMjkiLCJ1c2VySWQiOiI1MTE2NzI0MDUifQ==</vt:lpwstr>
  </property>
</Properties>
</file>