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35E3">
      <w:pPr>
        <w:jc w:val="center"/>
        <w:rPr>
          <w:rFonts w:ascii="宋体" w:hAnsi="宋体"/>
          <w:sz w:val="30"/>
          <w:szCs w:val="30"/>
        </w:rPr>
      </w:pPr>
      <w:r>
        <w:rPr>
          <w:rFonts w:hint="eastAsia" w:ascii="宋体" w:hAnsi="宋体"/>
          <w:sz w:val="30"/>
          <w:szCs w:val="30"/>
        </w:rPr>
        <w:t>湛江中心人民医院</w:t>
      </w:r>
    </w:p>
    <w:p w14:paraId="42AF8B8A">
      <w:pPr>
        <w:spacing w:line="360" w:lineRule="auto"/>
        <w:ind w:left="-18" w:leftChars="-67" w:hanging="123" w:hangingChars="44"/>
        <w:jc w:val="center"/>
        <w:rPr>
          <w:rFonts w:ascii="宋体" w:hAnsi="宋体" w:cs="仿宋"/>
          <w:sz w:val="30"/>
          <w:szCs w:val="30"/>
        </w:rPr>
      </w:pPr>
      <w:r>
        <w:rPr>
          <w:rFonts w:hint="eastAsia" w:ascii="宋体" w:hAnsi="宋体"/>
          <w:sz w:val="28"/>
          <w:szCs w:val="28"/>
        </w:rPr>
        <w:t>院内导航及智能停车管理系统</w:t>
      </w:r>
      <w:r>
        <w:rPr>
          <w:rFonts w:hint="eastAsia" w:ascii="宋体" w:hAnsi="宋体" w:cs="仿宋"/>
          <w:sz w:val="30"/>
          <w:szCs w:val="30"/>
        </w:rPr>
        <w:t>运维服务需求</w:t>
      </w:r>
    </w:p>
    <w:p w14:paraId="7C23FCA5">
      <w:pPr>
        <w:pStyle w:val="4"/>
        <w:rPr>
          <w:rFonts w:cs="Arial" w:asciiTheme="minorEastAsia" w:hAnsiTheme="minorEastAsia"/>
          <w:b/>
          <w:color w:val="000000"/>
          <w:kern w:val="0"/>
          <w:szCs w:val="21"/>
        </w:rPr>
      </w:pPr>
    </w:p>
    <w:p w14:paraId="34B958FF">
      <w:pPr>
        <w:pStyle w:val="4"/>
      </w:pPr>
      <w:r>
        <w:rPr>
          <w:rFonts w:cs="Arial" w:asciiTheme="minorEastAsia" w:hAnsiTheme="minorEastAsia"/>
          <w:b/>
          <w:color w:val="000000"/>
          <w:kern w:val="0"/>
          <w:szCs w:val="21"/>
        </w:rPr>
        <w:t>一、项目基本信息</w:t>
      </w:r>
    </w:p>
    <w:p w14:paraId="4FF81F0B">
      <w:pPr>
        <w:widowControl/>
        <w:jc w:val="left"/>
        <w:outlineLvl w:val="1"/>
        <w:rPr>
          <w:rFonts w:cs="Arial" w:asciiTheme="minorEastAsia" w:hAnsiTheme="minorEastAsia"/>
          <w:b/>
          <w:color w:val="000000"/>
          <w:kern w:val="0"/>
          <w:szCs w:val="21"/>
        </w:rPr>
      </w:pPr>
    </w:p>
    <w:p w14:paraId="47571916">
      <w:pPr>
        <w:widowControl/>
        <w:numPr>
          <w:ilvl w:val="0"/>
          <w:numId w:val="2"/>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项目名称：院内导航及智能停车管理系统项目</w:t>
      </w:r>
    </w:p>
    <w:p w14:paraId="19C2A289">
      <w:pPr>
        <w:widowControl/>
        <w:numPr>
          <w:ilvl w:val="0"/>
          <w:numId w:val="2"/>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运维服务期：1 年（自双方签署运维服务协议之日起计算）</w:t>
      </w:r>
    </w:p>
    <w:p w14:paraId="62461288">
      <w:pPr>
        <w:widowControl/>
        <w:numPr>
          <w:ilvl w:val="0"/>
          <w:numId w:val="2"/>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服务地点：湛江中心人民医院指定地点</w:t>
      </w:r>
    </w:p>
    <w:p w14:paraId="76DA22EA">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二、运维服务范围</w:t>
      </w:r>
    </w:p>
    <w:p w14:paraId="3AB066B2">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本次运维服务范围涵盖原合同项下所有建设内容，包括但不限于：</w:t>
      </w:r>
    </w:p>
    <w:p w14:paraId="61917A9D">
      <w:pPr>
        <w:widowControl/>
        <w:numPr>
          <w:ilvl w:val="0"/>
          <w:numId w:val="3"/>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软件系统：院内导航系统、智能停车管理系统及相关配套软件模块，以及与微信公众号、互联网医院、自助机等系统的对接接口</w:t>
      </w:r>
      <w:r>
        <w:rPr>
          <w:rFonts w:hint="eastAsia" w:cs="Arial" w:asciiTheme="minorEastAsia" w:hAnsiTheme="minorEastAsia"/>
          <w:color w:val="000000"/>
          <w:kern w:val="0"/>
          <w:szCs w:val="21"/>
        </w:rPr>
        <w:t>等（若后续涉及）</w:t>
      </w:r>
      <w:r>
        <w:rPr>
          <w:rFonts w:cs="Arial" w:asciiTheme="minorEastAsia" w:hAnsiTheme="minorEastAsia"/>
          <w:color w:val="000000"/>
          <w:kern w:val="0"/>
          <w:szCs w:val="21"/>
        </w:rPr>
        <w:t>。</w:t>
      </w:r>
    </w:p>
    <w:p w14:paraId="33B0176B">
      <w:pPr>
        <w:widowControl/>
        <w:numPr>
          <w:ilvl w:val="0"/>
          <w:numId w:val="3"/>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硬件设备：视频车位检测器、诱导管理器、车位管理 LED 显示屏、千兆交换机、万兆交换机、服务器、网线、全院蓝牙信标、智能导航大屏机等所有</w:t>
      </w:r>
      <w:r>
        <w:rPr>
          <w:rFonts w:hint="eastAsia" w:cs="Arial" w:asciiTheme="minorEastAsia" w:hAnsiTheme="minorEastAsia"/>
          <w:color w:val="000000"/>
          <w:kern w:val="0"/>
          <w:szCs w:val="21"/>
        </w:rPr>
        <w:t>原</w:t>
      </w:r>
      <w:r>
        <w:rPr>
          <w:rFonts w:cs="Arial" w:asciiTheme="minorEastAsia" w:hAnsiTheme="minorEastAsia"/>
          <w:color w:val="000000"/>
          <w:kern w:val="0"/>
          <w:szCs w:val="21"/>
        </w:rPr>
        <w:t>合同列明的配套硬件设备</w:t>
      </w:r>
      <w:r>
        <w:rPr>
          <w:rFonts w:hint="eastAsia" w:cs="Arial" w:asciiTheme="minorEastAsia" w:hAnsiTheme="minorEastAsia"/>
          <w:color w:val="000000"/>
          <w:kern w:val="0"/>
          <w:szCs w:val="21"/>
        </w:rPr>
        <w:t>等</w:t>
      </w:r>
      <w:r>
        <w:rPr>
          <w:rFonts w:cs="Arial" w:asciiTheme="minorEastAsia" w:hAnsiTheme="minorEastAsia"/>
          <w:color w:val="000000"/>
          <w:kern w:val="0"/>
          <w:szCs w:val="21"/>
        </w:rPr>
        <w:t>。</w:t>
      </w:r>
    </w:p>
    <w:p w14:paraId="5479EFF4">
      <w:pPr>
        <w:widowControl/>
        <w:numPr>
          <w:ilvl w:val="0"/>
          <w:numId w:val="3"/>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系统集成：软件与硬件的协同运行、网络链路连接、系统接口适配等集成相关运维内容。</w:t>
      </w:r>
    </w:p>
    <w:p w14:paraId="2FE319A3">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三、运维服务目标</w:t>
      </w:r>
    </w:p>
    <w:p w14:paraId="03CA4E85">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确保院内导航及智能停车管理系统在运维服务期内稳定、安全、高效运行，满足医院日常诊疗秩序、患者及工作人员出行停车需求，保障系统各项功能正常发挥，响应及时、故障解决高效，符合国家相关标准、行业规范及医院信息化管理要求，助力医院顺利通过 “智慧服务评级”。</w:t>
      </w:r>
    </w:p>
    <w:p w14:paraId="79430107">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四、维保基本要求</w:t>
      </w:r>
    </w:p>
    <w:p w14:paraId="7B755395">
      <w:pPr>
        <w:widowControl/>
        <w:numPr>
          <w:ilvl w:val="0"/>
          <w:numId w:val="4"/>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服务期内提供院内导航系统和智能停车管理系统全方位运维服务，包括定期巡检、故障处理、远程维护及用户咨询服务，协助医院处理系统相关事务，快速解决系统故障，保障两套系统持续稳定运行。</w:t>
      </w:r>
    </w:p>
    <w:p w14:paraId="26BF974F">
      <w:pPr>
        <w:widowControl/>
        <w:numPr>
          <w:ilvl w:val="0"/>
          <w:numId w:val="4"/>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服务期内须保障院内导航系统和智能停车管理系统满足国家 “智慧服务评级” 的要求，主动对接评级标准，配合医院完成相关改造工作（包括但不限于功能优化、数据完善、接口适配等），不另行收取改造服务相关费用。</w:t>
      </w:r>
    </w:p>
    <w:p w14:paraId="65CDE52B">
      <w:pPr>
        <w:widowControl/>
        <w:numPr>
          <w:ilvl w:val="0"/>
          <w:numId w:val="4"/>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严格遵守原合同保密条款要求，加强系统数据安全管理，防止用户信息、停车数据、导航数据等敏感信息泄露，不得利用系统数据从事任何商业活动。</w:t>
      </w:r>
    </w:p>
    <w:p w14:paraId="066CA269">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五、具体运维服务内容</w:t>
      </w:r>
    </w:p>
    <w:p w14:paraId="4ABF8BC3">
      <w:pPr>
        <w:widowControl/>
        <w:jc w:val="left"/>
        <w:outlineLvl w:val="2"/>
        <w:rPr>
          <w:rFonts w:cs="Arial" w:asciiTheme="minorEastAsia" w:hAnsiTheme="minorEastAsia"/>
          <w:b/>
          <w:color w:val="000000"/>
          <w:kern w:val="0"/>
          <w:szCs w:val="21"/>
        </w:rPr>
      </w:pPr>
      <w:r>
        <w:rPr>
          <w:rFonts w:cs="Arial" w:asciiTheme="minorEastAsia" w:hAnsiTheme="minorEastAsia"/>
          <w:b/>
          <w:color w:val="000000"/>
          <w:kern w:val="0"/>
          <w:szCs w:val="21"/>
        </w:rPr>
        <w:t>（一）院内导航系统运维服务</w:t>
      </w:r>
    </w:p>
    <w:p w14:paraId="0CD59387">
      <w:pPr>
        <w:widowControl/>
        <w:numPr>
          <w:ilvl w:val="0"/>
          <w:numId w:val="5"/>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维护形式：安排专业技术团队负责系统和相关硬件的维护工作，指定 1-2 名专属联系人，负责日常沟通、故障对接及事务协调，及时处理各类软硬件故障、维修、软件升级等事宜。</w:t>
      </w:r>
    </w:p>
    <w:p w14:paraId="61DB0770">
      <w:pPr>
        <w:widowControl/>
        <w:numPr>
          <w:ilvl w:val="0"/>
          <w:numId w:val="5"/>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维保服务方式：全包维护，涵盖所有软件、硬件、辅材及相关服务，具体包括：</w:t>
      </w:r>
    </w:p>
    <w:p w14:paraId="541AC7D9">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（1）新功能升级：持续优化系统功能，包括但不限于地图模块功能、导航模块功能、路径规划模块功能，如楼层 3D 模型压缩、多楼层立体展示、天气展示功能等，提升用户体验。</w:t>
      </w:r>
    </w:p>
    <w:p w14:paraId="65F460AE">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（2）数据维护：</w:t>
      </w:r>
    </w:p>
    <w:p w14:paraId="331A99BC">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①</w:t>
      </w:r>
      <w:r>
        <w:rPr>
          <w:rFonts w:cs="Arial" w:asciiTheme="minorEastAsia" w:hAnsiTheme="minorEastAsia"/>
          <w:color w:val="000000"/>
          <w:kern w:val="0"/>
          <w:szCs w:val="21"/>
        </w:rPr>
        <w:t xml:space="preserve"> 地图数据 / POI 信息 / 路径数据维护：及时更新科室搬迁后的地图数据，维护 POI 设施（自助机、ATM、充电宝、卫生间、缴费窗口等）信息，优化导航路线，确保导航精准度；</w:t>
      </w:r>
    </w:p>
    <w:p w14:paraId="3F17A241">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②</w:t>
      </w:r>
      <w:r>
        <w:rPr>
          <w:rFonts w:cs="Arial" w:asciiTheme="minorEastAsia" w:hAnsiTheme="minorEastAsia"/>
          <w:color w:val="000000"/>
          <w:kern w:val="0"/>
          <w:szCs w:val="21"/>
        </w:rPr>
        <w:t xml:space="preserve"> 医院信息维护：定期更新医院科室信息、医生信息、医院介绍、就诊流程等内容，保证信息准确性；</w:t>
      </w:r>
    </w:p>
    <w:p w14:paraId="558CFC9E">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③</w:t>
      </w:r>
      <w:r>
        <w:rPr>
          <w:rFonts w:cs="Arial" w:asciiTheme="minorEastAsia" w:hAnsiTheme="minorEastAsia"/>
          <w:color w:val="000000"/>
          <w:kern w:val="0"/>
          <w:szCs w:val="21"/>
        </w:rPr>
        <w:t xml:space="preserve"> 对接数据维护：维护与微信公众号、互联网医院、自助机等平台的对接服务，包括 HIS 科室词典同步、字段更新、数据交互适配等，确保数据互通顺畅。</w:t>
      </w:r>
    </w:p>
    <w:p w14:paraId="24BC591A">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（3）兼容性升级：针对市面上最新发布的智能手机（包括 Android、iOS、HarmonyOS 等系统）进行兼容性测试与适配优化，保障不同终端用户正常使用系统。</w:t>
      </w:r>
    </w:p>
    <w:p w14:paraId="155DFA5E">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（4）蓝牙信标维护：定期对全院蓝牙定位信标进行巡检，包括电量检测、信号强度测试、脱落更换、数据采集及定位精度校准等，确保蓝牙定位功能稳定可靠。</w:t>
      </w:r>
    </w:p>
    <w:p w14:paraId="5F63438B">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（5）云平台维护：负责院内导航系统云平台的升级与日常维护，及时跟进用户反馈并优化调整，更新平台数据（如热力图、搜索排行、使用次数统计等），支持地图及 POI 内容自定义设置。</w:t>
      </w:r>
    </w:p>
    <w:p w14:paraId="089A0566">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（6）智能导航大屏机维护：定期检查智能导航大屏机显示屏、主机及相关硬件设备运行状态，进行清洁保养；及时更新适配大屏机导航 APP 软件，处理软件卡顿、闪退、显示异常等问题，保障大屏机正常使用。</w:t>
      </w:r>
    </w:p>
    <w:p w14:paraId="786713CA">
      <w:pPr>
        <w:widowControl/>
        <w:jc w:val="left"/>
        <w:outlineLvl w:val="2"/>
        <w:rPr>
          <w:rFonts w:cs="Arial" w:asciiTheme="minorEastAsia" w:hAnsiTheme="minorEastAsia"/>
          <w:b/>
          <w:color w:val="000000"/>
          <w:kern w:val="0"/>
          <w:szCs w:val="21"/>
        </w:rPr>
      </w:pPr>
      <w:r>
        <w:rPr>
          <w:rFonts w:cs="Arial" w:asciiTheme="minorEastAsia" w:hAnsiTheme="minorEastAsia"/>
          <w:b/>
          <w:color w:val="000000"/>
          <w:kern w:val="0"/>
          <w:szCs w:val="21"/>
        </w:rPr>
        <w:t>（二）智能停车管理系统运维服务</w:t>
      </w:r>
    </w:p>
    <w:p w14:paraId="2C9C5974">
      <w:pPr>
        <w:widowControl/>
        <w:numPr>
          <w:ilvl w:val="0"/>
          <w:numId w:val="6"/>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维护形式：指定专属联系人负责日常对接，快速响应并处理系统及硬件故障，提供维修、升级等全流程服务。</w:t>
      </w:r>
    </w:p>
    <w:p w14:paraId="73162A15">
      <w:pPr>
        <w:widowControl/>
        <w:numPr>
          <w:ilvl w:val="0"/>
          <w:numId w:val="6"/>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维保服务方式：全包维护，涵盖系统软件、硬件设备、辅材及相关服务，具体包括：</w:t>
      </w:r>
    </w:p>
    <w:p w14:paraId="6350990C">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（1）软件系统维护：</w:t>
      </w:r>
    </w:p>
    <w:p w14:paraId="7EDAD544">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①</w:t>
      </w:r>
      <w:r>
        <w:rPr>
          <w:rFonts w:cs="Arial" w:asciiTheme="minorEastAsia" w:hAnsiTheme="minorEastAsia"/>
          <w:color w:val="000000"/>
          <w:kern w:val="0"/>
          <w:szCs w:val="21"/>
        </w:rPr>
        <w:t xml:space="preserve"> 功能升级：根据医院需求及 “智慧服务评级” 要求，优化智能停车管理系统功能，包括但不限于停车预约、车位查询、在线缴费、车辆进出识别、停车时长统计等核心功能，新增便捷化服务模块（如反向寻车功能优化、多支付方式适配等）；</w:t>
      </w:r>
    </w:p>
    <w:p w14:paraId="2EED8B1E">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②</w:t>
      </w:r>
      <w:r>
        <w:rPr>
          <w:rFonts w:cs="Arial" w:asciiTheme="minorEastAsia" w:hAnsiTheme="minorEastAsia"/>
          <w:color w:val="000000"/>
          <w:kern w:val="0"/>
          <w:szCs w:val="21"/>
        </w:rPr>
        <w:t xml:space="preserve"> 数据维护：维护停车数据（包括车位使用记录、缴费数据、车辆进出日志等）的完整性与安全性，定期进行数据备份、清理及统计分析，提供数据查询支持；</w:t>
      </w:r>
    </w:p>
    <w:p w14:paraId="0A788353">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③</w:t>
      </w:r>
      <w:r>
        <w:rPr>
          <w:rFonts w:cs="Arial" w:asciiTheme="minorEastAsia" w:hAnsiTheme="minorEastAsia"/>
          <w:color w:val="000000"/>
          <w:kern w:val="0"/>
          <w:szCs w:val="21"/>
        </w:rPr>
        <w:t xml:space="preserve"> 接口维护：保障系统与医院其他相关平台（如院内导航系统、医院管理系统等）的接口稳定，及时处理接口数据交互异常问题，确保信息同步。</w:t>
      </w:r>
    </w:p>
    <w:p w14:paraId="3FE38730">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（2）硬件设备维护：</w:t>
      </w:r>
    </w:p>
    <w:p w14:paraId="28129F77">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①</w:t>
      </w:r>
      <w:r>
        <w:rPr>
          <w:rFonts w:cs="Arial" w:asciiTheme="minorEastAsia" w:hAnsiTheme="minorEastAsia"/>
          <w:color w:val="000000"/>
          <w:kern w:val="0"/>
          <w:szCs w:val="21"/>
        </w:rPr>
        <w:t xml:space="preserve"> 视频车位检测器维护：定期巡检所有视频车位检测器（含不同规格型号）的运行状态，检查镜头清洁度、信号传输稳定性，处理检测不准、无法识别等故障，必要时进行校准或更换；</w:t>
      </w:r>
    </w:p>
    <w:p w14:paraId="0627384C">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②</w:t>
      </w:r>
      <w:r>
        <w:rPr>
          <w:rFonts w:cs="Arial" w:asciiTheme="minorEastAsia" w:hAnsiTheme="minorEastAsia"/>
          <w:color w:val="000000"/>
          <w:kern w:val="0"/>
          <w:szCs w:val="21"/>
        </w:rPr>
        <w:t xml:space="preserve"> 诱导管理器维护：检查诱导管理器运行工况，测试信号发射与接收功能，处理设备离线、诱导指令异常等问题，确保车位诱导功能正常；</w:t>
      </w:r>
    </w:p>
    <w:p w14:paraId="75F33B4B">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③</w:t>
      </w:r>
      <w:r>
        <w:rPr>
          <w:rFonts w:cs="Arial" w:asciiTheme="minorEastAsia" w:hAnsiTheme="minorEastAsia"/>
          <w:color w:val="000000"/>
          <w:kern w:val="0"/>
          <w:szCs w:val="21"/>
        </w:rPr>
        <w:t xml:space="preserve"> 车位管理 LED 显示屏维护：定期检查 LED 显示屏显示效果，处理黑屏、花屏、亮度异常、文字错位等问题，更新显示屏显示内容（如剩余车位数、指引信息等），保障信息清晰准确；</w:t>
      </w:r>
    </w:p>
    <w:p w14:paraId="6347F926">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④</w:t>
      </w:r>
      <w:r>
        <w:rPr>
          <w:rFonts w:cs="Arial" w:asciiTheme="minorEastAsia" w:hAnsiTheme="minorEastAsia"/>
          <w:color w:val="000000"/>
          <w:kern w:val="0"/>
          <w:szCs w:val="21"/>
        </w:rPr>
        <w:t xml:space="preserve"> 交换机及服务器维护：巡检千兆交换机、万兆交换机、服务器的运行状态，监测硬件温度、运行负载，进行系统漏洞修复、版本升级，处理网络连接异常、服务器宕机等故障，确保数据传输与存储安全；</w:t>
      </w:r>
    </w:p>
    <w:p w14:paraId="702EAFE9">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⑤</w:t>
      </w:r>
      <w:r>
        <w:rPr>
          <w:rFonts w:cs="Arial" w:asciiTheme="minorEastAsia" w:hAnsiTheme="minorEastAsia"/>
          <w:color w:val="000000"/>
          <w:kern w:val="0"/>
          <w:szCs w:val="21"/>
        </w:rPr>
        <w:t xml:space="preserve"> 辅助设备维护：维护停车系统相关辅助硬件（如道闸、车牌识别摄像头、缴费终端、网线等），进行定期清洁、零部件检查，更换老化磨损的辅材（如道闸杆、接口配件、网线等），处理设备卡滞、识别失败等问题。</w:t>
      </w:r>
    </w:p>
    <w:p w14:paraId="08151B3D">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（3）数据安全与兼容性维护：</w:t>
      </w:r>
    </w:p>
    <w:p w14:paraId="73977237">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①</w:t>
      </w:r>
      <w:r>
        <w:rPr>
          <w:rFonts w:cs="Arial" w:asciiTheme="minorEastAsia" w:hAnsiTheme="minorEastAsia"/>
          <w:color w:val="000000"/>
          <w:kern w:val="0"/>
          <w:szCs w:val="21"/>
        </w:rPr>
        <w:t xml:space="preserve"> 保障停车系统数据安全，防范数据泄露、篡改风险，配合医院完成网络安全等级保护相关工作；</w:t>
      </w:r>
    </w:p>
    <w:p w14:paraId="16750DE0">
      <w:pPr>
        <w:widowControl/>
        <w:jc w:val="left"/>
        <w:rPr>
          <w:rFonts w:cs="Arial" w:asciiTheme="minorEastAsia" w:hAnsiTheme="minorEastAsia"/>
          <w:color w:val="000000"/>
          <w:kern w:val="0"/>
          <w:szCs w:val="21"/>
        </w:rPr>
      </w:pPr>
      <w:r>
        <w:rPr>
          <w:rFonts w:hint="eastAsia" w:cs="微软雅黑" w:asciiTheme="minorEastAsia" w:hAnsiTheme="minorEastAsia"/>
          <w:color w:val="000000"/>
          <w:kern w:val="0"/>
          <w:szCs w:val="21"/>
        </w:rPr>
        <w:t>②</w:t>
      </w:r>
      <w:r>
        <w:rPr>
          <w:rFonts w:cs="Arial" w:asciiTheme="minorEastAsia" w:hAnsiTheme="minorEastAsia"/>
          <w:color w:val="000000"/>
          <w:kern w:val="0"/>
          <w:szCs w:val="21"/>
        </w:rPr>
        <w:t xml:space="preserve"> 适配最新智能设备及软件环境，确保停车系统与各类移动支付终端、智能识别设备的兼容性，支持最新操作系统及浏览器运行。</w:t>
      </w:r>
    </w:p>
    <w:p w14:paraId="5E7140CE">
      <w:pPr>
        <w:widowControl/>
        <w:jc w:val="left"/>
        <w:outlineLvl w:val="2"/>
        <w:rPr>
          <w:rFonts w:cs="Arial" w:asciiTheme="minorEastAsia" w:hAnsiTheme="minorEastAsia"/>
          <w:b/>
          <w:color w:val="000000"/>
          <w:kern w:val="0"/>
          <w:szCs w:val="21"/>
        </w:rPr>
      </w:pPr>
      <w:r>
        <w:rPr>
          <w:rFonts w:cs="Arial" w:asciiTheme="minorEastAsia" w:hAnsiTheme="minorEastAsia"/>
          <w:b/>
          <w:color w:val="000000"/>
          <w:kern w:val="0"/>
          <w:szCs w:val="21"/>
        </w:rPr>
        <w:t>（三）通用运维服务内容</w:t>
      </w:r>
    </w:p>
    <w:p w14:paraId="0B15692B">
      <w:pPr>
        <w:widowControl/>
        <w:numPr>
          <w:ilvl w:val="0"/>
          <w:numId w:val="7"/>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定期巡检：</w:t>
      </w:r>
    </w:p>
    <w:p w14:paraId="6232B749">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（1）院内导航系统：</w:t>
      </w:r>
      <w:r>
        <w:rPr>
          <w:rFonts w:hint="eastAsia" w:cs="Arial" w:asciiTheme="minorEastAsia" w:hAnsiTheme="minorEastAsia"/>
          <w:color w:val="000000"/>
          <w:kern w:val="0"/>
          <w:szCs w:val="21"/>
        </w:rPr>
        <w:t>每月</w:t>
      </w:r>
      <w:r>
        <w:rPr>
          <w:rFonts w:cs="Arial" w:asciiTheme="minorEastAsia" w:hAnsiTheme="minorEastAsia"/>
          <w:color w:val="000000"/>
          <w:kern w:val="0"/>
          <w:szCs w:val="21"/>
        </w:rPr>
        <w:t>进行 1 次巡检，内容包括系统运行状态、硬件设备工况、数据安全情况、故障处理记录及优化建议；</w:t>
      </w:r>
    </w:p>
    <w:p w14:paraId="4FC5FB19">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（2）智能停车管理系统：每</w:t>
      </w:r>
      <w:r>
        <w:rPr>
          <w:rFonts w:hint="eastAsia" w:cs="Arial" w:asciiTheme="minorEastAsia" w:hAnsiTheme="minorEastAsia"/>
          <w:color w:val="000000"/>
          <w:kern w:val="0"/>
          <w:szCs w:val="21"/>
        </w:rPr>
        <w:t>月</w:t>
      </w:r>
      <w:r>
        <w:rPr>
          <w:rFonts w:cs="Arial" w:asciiTheme="minorEastAsia" w:hAnsiTheme="minorEastAsia"/>
          <w:color w:val="000000"/>
          <w:kern w:val="0"/>
          <w:szCs w:val="21"/>
        </w:rPr>
        <w:t>进行 1 次全流程巡检，重点检查硬件设备运行状态、软件功能完整性、网络连接稳定性，每月提交详细巡检报告，列明巡检结果及整改措施（如有）。</w:t>
      </w:r>
    </w:p>
    <w:p w14:paraId="6D72BAF6">
      <w:pPr>
        <w:widowControl/>
        <w:numPr>
          <w:ilvl w:val="0"/>
          <w:numId w:val="7"/>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故障响应与维修服务：</w:t>
      </w:r>
    </w:p>
    <w:p w14:paraId="287C02E7">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（1）响应时效：接到甲方故障报修后，3 小时内完成故障处理（远程或现场）；若远程无法解决，需在 3 小时内到达现场（医院指定运维地点），复杂故障需书面说明解决方案及修复时限，最长不超过 24 小时。</w:t>
      </w:r>
    </w:p>
    <w:p w14:paraId="7F6988F4">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（2）维修标准：严格按照专业实施标准进行设备更换和系统维修，规范设备安装流程，使用正品配件，确保维修质量；故障修复后填写维修记录表，经医院相关负责人签字确认后存档。</w:t>
      </w:r>
    </w:p>
    <w:p w14:paraId="62BD6E95">
      <w:pPr>
        <w:widowControl/>
        <w:numPr>
          <w:ilvl w:val="0"/>
          <w:numId w:val="7"/>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咨询与培训服务：</w:t>
      </w:r>
    </w:p>
    <w:p w14:paraId="3A2E719A">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（1）通过电话、微信、邮件等方式及时解答医院工作人员及用户在系统使用过程中遇到的问题；</w:t>
      </w:r>
    </w:p>
    <w:p w14:paraId="5CF35272">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（2）服务期内提供不少于 1 次专项培训，针对两套系统的新增功能、操作技巧、常见故障排查等内容进行讲解，免费提供培训资料，提升医院相关人员操作与管理能力。</w:t>
      </w:r>
    </w:p>
    <w:p w14:paraId="1DF0AF88">
      <w:pPr>
        <w:widowControl/>
        <w:numPr>
          <w:ilvl w:val="0"/>
          <w:numId w:val="7"/>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配合与协助服务：</w:t>
      </w:r>
    </w:p>
    <w:p w14:paraId="4D302E84">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（1）配合医院完成 “智慧服务评级” 相关改造、申报及整改工作，按照评级标准优化系统功能、完善数据、整改问题，不额外收取费用；</w:t>
      </w:r>
    </w:p>
    <w:p w14:paraId="65EDBB31">
      <w:pPr>
        <w:widowControl/>
        <w:jc w:val="left"/>
        <w:rPr>
          <w:rFonts w:cs="Arial" w:asciiTheme="minorEastAsia" w:hAnsiTheme="minorEastAsia"/>
          <w:color w:val="000000"/>
          <w:kern w:val="0"/>
          <w:szCs w:val="21"/>
        </w:rPr>
      </w:pPr>
      <w:r>
        <w:rPr>
          <w:rFonts w:cs="Arial" w:asciiTheme="minorEastAsia" w:hAnsiTheme="minorEastAsia"/>
          <w:color w:val="000000"/>
          <w:kern w:val="0"/>
          <w:szCs w:val="21"/>
        </w:rPr>
        <w:t>（2）配合医院完成上级部门要求的指令性任务、网络安全等级保护测评、信息化检查等工作，提供技术支持及相关资料；</w:t>
      </w:r>
    </w:p>
    <w:p w14:paraId="17C9D0CD">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六、服务标准</w:t>
      </w:r>
    </w:p>
    <w:p w14:paraId="14B25243">
      <w:pPr>
        <w:widowControl/>
        <w:numPr>
          <w:ilvl w:val="0"/>
          <w:numId w:val="8"/>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定期巡检需形成规范的巡检报告，经医院相关负责人审核确认后存档，确保巡检工作可追溯。</w:t>
      </w:r>
    </w:p>
    <w:p w14:paraId="192C7CC6">
      <w:pPr>
        <w:widowControl/>
        <w:numPr>
          <w:ilvl w:val="0"/>
          <w:numId w:val="8"/>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系统配件更换和系统维修严格遵循专业实施标准，施工过程规范有序，设备安装符合安全要求及技术规范。</w:t>
      </w:r>
    </w:p>
    <w:p w14:paraId="633D40DA">
      <w:pPr>
        <w:widowControl/>
        <w:numPr>
          <w:ilvl w:val="0"/>
          <w:numId w:val="8"/>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提供系统正常运行所需的正品配件，配件质量符合国家相关标准及原设备技术要求，更换配件需提前告知医院并经确认。</w:t>
      </w:r>
    </w:p>
    <w:p w14:paraId="18FEE8DE">
      <w:pPr>
        <w:widowControl/>
        <w:numPr>
          <w:ilvl w:val="0"/>
          <w:numId w:val="8"/>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设立全天候 24 小时 365 天热线服务电话，确保电话畅通，指定专人负责接听、记录及处理故障报修，及时反馈处理进度。</w:t>
      </w:r>
    </w:p>
    <w:p w14:paraId="16EDF6AD">
      <w:pPr>
        <w:widowControl/>
        <w:numPr>
          <w:ilvl w:val="0"/>
          <w:numId w:val="8"/>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接到甲方故障报修后，严格按照约定时效响应处理，一般故障 3 小时内解决，复杂故障及时提供解决方案并明确修复时限，确保医院运营不受重大影响。</w:t>
      </w:r>
    </w:p>
    <w:p w14:paraId="1975A269">
      <w:pPr>
        <w:widowControl/>
        <w:numPr>
          <w:ilvl w:val="0"/>
          <w:numId w:val="8"/>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运维服务期内，系统故障率控制在较低水平，核心功能故障年累计时长不超过 24 小时，若超出需按约定承担违约责任（双方另行协商）。</w:t>
      </w:r>
    </w:p>
    <w:p w14:paraId="33261FF6">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七、服务质量考核</w:t>
      </w:r>
    </w:p>
    <w:p w14:paraId="297C0138">
      <w:pPr>
        <w:widowControl/>
        <w:numPr>
          <w:ilvl w:val="0"/>
          <w:numId w:val="9"/>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医院建立运维服务质量考核机制，从故障响应时效、故障修复率、服务态度、培训效果、“智慧服务评级” 配合度等方面对运维服务商进行月度和年度考核，考核结果作为运维费用支付、后续合作的重要依据。</w:t>
      </w:r>
    </w:p>
    <w:p w14:paraId="691A7B5D">
      <w:pPr>
        <w:widowControl/>
        <w:numPr>
          <w:ilvl w:val="0"/>
          <w:numId w:val="9"/>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若运维服务商未达到本需求书约定的服务标准，医院有权提出整改要求，运维服务商需在 3 个工作日内提交整改方案并落实；若累计 3 次未达到服务标准或整改后仍不符合要求，医院有权单方面终止运维服务协议，并要求承担相应损失。</w:t>
      </w:r>
    </w:p>
    <w:p w14:paraId="39493E83">
      <w:pPr>
        <w:widowControl/>
        <w:jc w:val="left"/>
        <w:outlineLvl w:val="1"/>
        <w:rPr>
          <w:rFonts w:cs="Arial" w:asciiTheme="minorEastAsia" w:hAnsiTheme="minorEastAsia"/>
          <w:b/>
          <w:color w:val="000000"/>
          <w:kern w:val="0"/>
          <w:szCs w:val="21"/>
        </w:rPr>
      </w:pPr>
      <w:r>
        <w:rPr>
          <w:rFonts w:cs="Arial" w:asciiTheme="minorEastAsia" w:hAnsiTheme="minorEastAsia"/>
          <w:b/>
          <w:color w:val="000000"/>
          <w:kern w:val="0"/>
          <w:szCs w:val="21"/>
        </w:rPr>
        <w:t>八、其他要求</w:t>
      </w:r>
    </w:p>
    <w:p w14:paraId="5E0F668F">
      <w:pPr>
        <w:widowControl/>
        <w:numPr>
          <w:ilvl w:val="0"/>
          <w:numId w:val="10"/>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运维服务商需指定固定的运维团队，团队成员需具备相关专业资质和同类项目运维经验，核心成员在服务期内不得随意更换，如需更换需提前 15 个工作日书面通知医院，经医院同意后方可执行。</w:t>
      </w:r>
    </w:p>
    <w:p w14:paraId="6B79B73E">
      <w:pPr>
        <w:widowControl/>
        <w:numPr>
          <w:ilvl w:val="0"/>
          <w:numId w:val="10"/>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运维过程中需遵守医院相关管理制度，进入医院运维现场需佩戴相关证件，服从医院工作人员安排，注重施工安全，避免对医院正常诊疗秩序造成影响。</w:t>
      </w:r>
    </w:p>
    <w:p w14:paraId="323A57A2">
      <w:pPr>
        <w:widowControl/>
        <w:numPr>
          <w:ilvl w:val="0"/>
          <w:numId w:val="10"/>
        </w:numPr>
        <w:spacing w:line="360" w:lineRule="auto"/>
        <w:ind w:left="0"/>
        <w:jc w:val="left"/>
        <w:rPr>
          <w:rFonts w:cs="Arial" w:asciiTheme="minorEastAsia" w:hAnsiTheme="minorEastAsia"/>
          <w:color w:val="000000"/>
          <w:kern w:val="0"/>
          <w:szCs w:val="21"/>
        </w:rPr>
      </w:pPr>
      <w:r>
        <w:rPr>
          <w:rFonts w:cs="Arial" w:asciiTheme="minorEastAsia" w:hAnsiTheme="minorEastAsia"/>
          <w:color w:val="000000"/>
          <w:kern w:val="0"/>
          <w:szCs w:val="21"/>
        </w:rPr>
        <w:t>本需求书未明确事宜，参照原合同相关条款执行；若与原合同条款有冲突，以本需求书为准（双方另有书面约定的除外）。</w:t>
      </w:r>
    </w:p>
    <w:p w14:paraId="7E0AD799">
      <w:pPr>
        <w:pStyle w:val="4"/>
        <w:ind w:firstLine="560" w:firstLineChars="200"/>
        <w:rPr>
          <w:rFonts w:ascii="宋体" w:hAnsi="宋体"/>
          <w:sz w:val="28"/>
          <w:szCs w:val="28"/>
        </w:rPr>
      </w:pPr>
    </w:p>
    <w:p w14:paraId="53D3AF71">
      <w:pPr>
        <w:ind w:left="480"/>
        <w:rPr>
          <w:rFonts w:ascii="宋体" w:hAnsi="宋体"/>
          <w:b/>
          <w:szCs w:val="21"/>
        </w:rPr>
      </w:pPr>
      <w:r>
        <w:rPr>
          <w:rFonts w:hint="eastAsia" w:ascii="宋体" w:hAnsi="宋体"/>
          <w:b/>
          <w:szCs w:val="21"/>
        </w:rPr>
        <w:t>九</w:t>
      </w:r>
      <w:r>
        <w:rPr>
          <w:rFonts w:hint="eastAsia" w:ascii="宋体" w:hAnsi="宋体"/>
          <w:szCs w:val="21"/>
        </w:rPr>
        <w:t>、</w:t>
      </w:r>
      <w:r>
        <w:rPr>
          <w:rFonts w:hint="eastAsia" w:ascii="宋体" w:hAnsi="宋体"/>
          <w:b/>
          <w:szCs w:val="21"/>
        </w:rPr>
        <w:t>其他有关事项</w:t>
      </w:r>
    </w:p>
    <w:p w14:paraId="114EFBAF">
      <w:pPr>
        <w:ind w:firstLine="420" w:firstLineChars="200"/>
        <w:rPr>
          <w:rFonts w:ascii="宋体" w:hAnsi="宋体"/>
          <w:szCs w:val="21"/>
        </w:rPr>
      </w:pPr>
      <w:r>
        <w:rPr>
          <w:rFonts w:hint="eastAsia" w:ascii="宋体" w:hAnsi="宋体"/>
          <w:szCs w:val="21"/>
        </w:rPr>
        <w:t>1、本信息自发布之日起5个工作日止，挂网期止后我院将根据情况通知报名单位前来市场调研推介。</w:t>
      </w:r>
    </w:p>
    <w:p w14:paraId="0A1519E9">
      <w:pPr>
        <w:ind w:firstLine="420" w:firstLineChars="200"/>
        <w:rPr>
          <w:rFonts w:ascii="宋体" w:hAnsi="宋体"/>
          <w:szCs w:val="21"/>
        </w:rPr>
      </w:pPr>
      <w:r>
        <w:rPr>
          <w:rFonts w:hint="eastAsia" w:ascii="宋体" w:hAnsi="宋体"/>
          <w:szCs w:val="21"/>
        </w:rPr>
        <w:t>2、从信息发布之日起至挂网期止，有资质的公司均可报名。报名公司请将本信息发布中涉及的有关资料，上门递交或快递至“湛江中心人民医院信息科”。地址：广东省湛江市赤坎区源珠路236号。邮编：524045。电话：(工作日)0759—</w:t>
      </w:r>
      <w:r>
        <w:rPr>
          <w:rFonts w:ascii="宋体" w:hAnsi="宋体"/>
          <w:szCs w:val="21"/>
        </w:rPr>
        <w:t>3157495</w:t>
      </w:r>
      <w:r>
        <w:rPr>
          <w:rFonts w:hint="eastAsia" w:ascii="宋体" w:hAnsi="宋体"/>
          <w:szCs w:val="21"/>
        </w:rPr>
        <w:t>(上午8:00-12:00，下午14:</w:t>
      </w:r>
      <w:r>
        <w:rPr>
          <w:rFonts w:ascii="宋体" w:hAnsi="宋体"/>
          <w:szCs w:val="21"/>
        </w:rPr>
        <w:t>0</w:t>
      </w:r>
      <w:r>
        <w:rPr>
          <w:rFonts w:hint="eastAsia" w:ascii="宋体" w:hAnsi="宋体"/>
          <w:szCs w:val="21"/>
        </w:rPr>
        <w:t xml:space="preserve">0-17:30) 。联系人：颜工 </w:t>
      </w:r>
      <w:r>
        <w:rPr>
          <w:rFonts w:ascii="宋体" w:hAnsi="宋体"/>
          <w:szCs w:val="21"/>
        </w:rPr>
        <w:t>1</w:t>
      </w:r>
      <w:r>
        <w:rPr>
          <w:rFonts w:hint="eastAsia" w:ascii="宋体" w:hAnsi="宋体"/>
          <w:szCs w:val="21"/>
        </w:rPr>
        <w:t>3600383234</w:t>
      </w:r>
    </w:p>
    <w:p w14:paraId="5D4087AA">
      <w:pPr>
        <w:ind w:firstLine="420" w:firstLineChars="200"/>
        <w:rPr>
          <w:rFonts w:ascii="宋体" w:hAnsi="宋体"/>
          <w:szCs w:val="21"/>
        </w:rPr>
      </w:pPr>
      <w:r>
        <w:rPr>
          <w:rFonts w:hint="eastAsia" w:ascii="宋体" w:hAnsi="宋体"/>
          <w:szCs w:val="21"/>
        </w:rPr>
        <w:t>3、本次市场调研推介并非正式采购行为，各公司所提供的相关信息仅有助于采购单位对该项目的认知。正式采购程序将依照《中华人民共和国政府采购法》以及广东省人民政府、湛江市人民政府及本单位的相关规定办理。</w:t>
      </w:r>
    </w:p>
    <w:p w14:paraId="44A3921A">
      <w:pPr>
        <w:ind w:firstLine="420" w:firstLineChars="200"/>
        <w:rPr>
          <w:rFonts w:ascii="宋体" w:hAnsi="宋体"/>
          <w:szCs w:val="21"/>
        </w:rPr>
      </w:pPr>
      <w:r>
        <w:rPr>
          <w:rFonts w:hint="eastAsia" w:ascii="宋体" w:hAnsi="宋体"/>
          <w:szCs w:val="21"/>
        </w:rPr>
        <w:t>4、报名单位须对其所提供的资料的真实性负责，如有作假，一经发现，立即取消资格，在两年内禁止参与我单位的所有项目邀请。</w:t>
      </w:r>
    </w:p>
    <w:p w14:paraId="0B5F4596">
      <w:pPr>
        <w:pStyle w:val="4"/>
        <w:ind w:firstLine="105" w:firstLineChars="50"/>
        <w:rPr>
          <w:rFonts w:ascii="宋体" w:hAnsi="宋体"/>
          <w:b/>
          <w:szCs w:val="21"/>
        </w:rPr>
      </w:pPr>
      <w:r>
        <w:rPr>
          <w:rFonts w:hint="eastAsia" w:ascii="宋体" w:hAnsi="宋体"/>
          <w:b/>
          <w:szCs w:val="21"/>
        </w:rPr>
        <w:t>十、报名资料及条件</w:t>
      </w:r>
    </w:p>
    <w:p w14:paraId="18188710">
      <w:pPr>
        <w:pStyle w:val="4"/>
        <w:rPr>
          <w:rFonts w:ascii="宋体" w:hAnsi="宋体"/>
          <w:szCs w:val="21"/>
        </w:rPr>
      </w:pPr>
      <w:r>
        <w:rPr>
          <w:rFonts w:hint="eastAsia" w:ascii="宋体" w:hAnsi="宋体"/>
          <w:szCs w:val="21"/>
        </w:rPr>
        <w:t>（一）产品（服务）方面</w:t>
      </w:r>
    </w:p>
    <w:p w14:paraId="42ED0091">
      <w:pPr>
        <w:pStyle w:val="4"/>
        <w:rPr>
          <w:rFonts w:ascii="宋体" w:hAnsi="宋体"/>
          <w:szCs w:val="21"/>
        </w:rPr>
      </w:pPr>
      <w:r>
        <w:rPr>
          <w:rFonts w:hint="eastAsia" w:ascii="宋体" w:hAnsi="宋体"/>
          <w:szCs w:val="21"/>
        </w:rPr>
        <w:t>1、产品（服务）报价清单并加盖公章。</w:t>
      </w:r>
    </w:p>
    <w:p w14:paraId="0D4E07CE">
      <w:pPr>
        <w:pStyle w:val="4"/>
        <w:rPr>
          <w:rFonts w:ascii="宋体" w:hAnsi="宋体"/>
          <w:szCs w:val="21"/>
        </w:rPr>
      </w:pPr>
      <w:r>
        <w:rPr>
          <w:rFonts w:hint="eastAsia" w:ascii="宋体" w:hAnsi="宋体"/>
          <w:szCs w:val="21"/>
        </w:rPr>
        <w:t>2、产品（服务）相关资料，性能特点介绍及使用说明等相关材料。</w:t>
      </w:r>
    </w:p>
    <w:p w14:paraId="623575FD">
      <w:pPr>
        <w:pStyle w:val="4"/>
        <w:rPr>
          <w:rFonts w:ascii="宋体" w:hAnsi="宋体"/>
          <w:szCs w:val="21"/>
        </w:rPr>
      </w:pPr>
      <w:r>
        <w:rPr>
          <w:rFonts w:hint="eastAsia" w:ascii="宋体" w:hAnsi="宋体"/>
          <w:szCs w:val="21"/>
        </w:rPr>
        <w:t>3、相关管理体系认证证书及产品售后服务承诺等。</w:t>
      </w:r>
    </w:p>
    <w:p w14:paraId="080BA2E9">
      <w:pPr>
        <w:pStyle w:val="4"/>
        <w:rPr>
          <w:rFonts w:ascii="宋体" w:hAnsi="宋体"/>
          <w:szCs w:val="21"/>
        </w:rPr>
      </w:pPr>
      <w:r>
        <w:rPr>
          <w:rFonts w:hint="eastAsia" w:ascii="宋体" w:hAnsi="宋体"/>
          <w:szCs w:val="21"/>
        </w:rPr>
        <w:t>4.、用户名单及近期成交价格，需提供合同复印件。</w:t>
      </w:r>
    </w:p>
    <w:p w14:paraId="1752D3A9">
      <w:pPr>
        <w:pStyle w:val="4"/>
        <w:rPr>
          <w:rFonts w:ascii="宋体" w:hAnsi="宋体"/>
          <w:szCs w:val="21"/>
        </w:rPr>
      </w:pPr>
      <w:r>
        <w:rPr>
          <w:rFonts w:hint="eastAsia" w:ascii="宋体" w:hAnsi="宋体"/>
          <w:szCs w:val="21"/>
        </w:rPr>
        <w:t>5.、联系人的姓名、职务、电话。</w:t>
      </w:r>
    </w:p>
    <w:p w14:paraId="7A8FDD01">
      <w:pPr>
        <w:pStyle w:val="4"/>
        <w:rPr>
          <w:rFonts w:ascii="宋体" w:hAnsi="宋体"/>
          <w:szCs w:val="21"/>
        </w:rPr>
      </w:pPr>
      <w:r>
        <w:rPr>
          <w:rFonts w:hint="eastAsia" w:ascii="宋体" w:hAnsi="宋体"/>
          <w:szCs w:val="21"/>
        </w:rPr>
        <w:t>（二）企业资质方面</w:t>
      </w:r>
    </w:p>
    <w:p w14:paraId="2BACDAD5">
      <w:pPr>
        <w:pStyle w:val="4"/>
        <w:rPr>
          <w:rFonts w:ascii="宋体" w:hAnsi="宋体"/>
          <w:szCs w:val="21"/>
        </w:rPr>
      </w:pPr>
      <w:r>
        <w:rPr>
          <w:rFonts w:hint="eastAsia" w:ascii="宋体" w:hAnsi="宋体"/>
          <w:szCs w:val="21"/>
        </w:rPr>
        <w:t>1、企业营业执照、税务登记证、组织机构代码证（以上资料复印件加盖公章）（若报价人已办理三证合一，则只需提供营业执照）。</w:t>
      </w:r>
    </w:p>
    <w:p w14:paraId="0754F510">
      <w:pPr>
        <w:pStyle w:val="4"/>
        <w:rPr>
          <w:rFonts w:ascii="宋体" w:hAnsi="宋体"/>
          <w:szCs w:val="21"/>
        </w:rPr>
      </w:pPr>
      <w:r>
        <w:rPr>
          <w:rFonts w:hint="eastAsia" w:ascii="宋体" w:hAnsi="宋体"/>
          <w:szCs w:val="21"/>
        </w:rPr>
        <w:t>2、法人授权委托书（原件加盖公章及法人代表印章或签名）</w:t>
      </w:r>
    </w:p>
    <w:p w14:paraId="2055C07F">
      <w:pPr>
        <w:pStyle w:val="4"/>
        <w:rPr>
          <w:rFonts w:ascii="宋体" w:hAnsi="宋体"/>
          <w:szCs w:val="21"/>
        </w:rPr>
      </w:pPr>
      <w:r>
        <w:rPr>
          <w:rFonts w:hint="eastAsia" w:ascii="宋体" w:hAnsi="宋体"/>
          <w:szCs w:val="21"/>
        </w:rPr>
        <w:t>3、产品销售授权书复印件加盖公章</w:t>
      </w:r>
    </w:p>
    <w:p w14:paraId="4AD04B74">
      <w:pPr>
        <w:pStyle w:val="4"/>
        <w:rPr>
          <w:rFonts w:ascii="宋体" w:hAnsi="宋体"/>
          <w:szCs w:val="21"/>
        </w:rPr>
      </w:pPr>
    </w:p>
    <w:p w14:paraId="0AB6D8F0">
      <w:pPr>
        <w:pStyle w:val="4"/>
        <w:rPr>
          <w:rFonts w:ascii="宋体" w:hAnsi="宋体"/>
          <w:szCs w:val="21"/>
        </w:rPr>
      </w:pPr>
    </w:p>
    <w:p w14:paraId="0877DFEB">
      <w:pPr>
        <w:ind w:left="480"/>
        <w:rPr>
          <w:rFonts w:ascii="宋体" w:hAnsi="宋体"/>
          <w:szCs w:val="21"/>
        </w:rPr>
      </w:pPr>
      <w:r>
        <w:rPr>
          <w:rFonts w:hint="eastAsia" w:ascii="宋体" w:hAnsi="宋体"/>
          <w:szCs w:val="21"/>
        </w:rPr>
        <w:t xml:space="preserve">                                                 信息科 </w:t>
      </w:r>
    </w:p>
    <w:p w14:paraId="62C8FE89">
      <w:pPr>
        <w:ind w:left="480"/>
        <w:rPr>
          <w:rFonts w:ascii="宋体" w:hAnsi="宋体"/>
          <w:szCs w:val="21"/>
        </w:rPr>
      </w:pPr>
      <w:r>
        <w:rPr>
          <w:rFonts w:hint="eastAsia" w:ascii="宋体" w:hAnsi="宋体"/>
          <w:szCs w:val="21"/>
        </w:rPr>
        <w:t xml:space="preserve">                                        </w:t>
      </w:r>
      <w:bookmarkStart w:id="0" w:name="_GoBack"/>
      <w:bookmarkEnd w:id="0"/>
    </w:p>
    <w:p w14:paraId="46D16CFC">
      <w:pPr>
        <w:pStyle w:val="4"/>
        <w:rPr>
          <w:rFonts w:ascii="宋体" w:hAnsi="宋体"/>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556807"/>
      <w:docPartObj>
        <w:docPartGallery w:val="autotext"/>
      </w:docPartObj>
    </w:sdtPr>
    <w:sdtContent>
      <w:sdt>
        <w:sdtPr>
          <w:id w:val="1728636285"/>
          <w:docPartObj>
            <w:docPartGallery w:val="autotext"/>
          </w:docPartObj>
        </w:sdtPr>
        <w:sdtContent>
          <w:p w14:paraId="6CFAF957">
            <w:pPr>
              <w:pStyle w:val="6"/>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5</w:t>
            </w:r>
            <w:r>
              <w:rPr>
                <w:b/>
                <w:bCs/>
                <w:sz w:val="24"/>
              </w:rPr>
              <w:fldChar w:fldCharType="end"/>
            </w:r>
          </w:p>
        </w:sdtContent>
      </w:sdt>
    </w:sdtContent>
  </w:sdt>
  <w:p w14:paraId="6C42096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92E53"/>
    <w:multiLevelType w:val="multilevel"/>
    <w:tmpl w:val="0DB92E5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9754C5"/>
    <w:multiLevelType w:val="multilevel"/>
    <w:tmpl w:val="0F9754C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42E69FB"/>
    <w:multiLevelType w:val="multilevel"/>
    <w:tmpl w:val="142E69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63C6603"/>
    <w:multiLevelType w:val="multilevel"/>
    <w:tmpl w:val="363C660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D0542C2"/>
    <w:multiLevelType w:val="multilevel"/>
    <w:tmpl w:val="5D0542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3CE1492"/>
    <w:multiLevelType w:val="multilevel"/>
    <w:tmpl w:val="63CE149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6CB407B"/>
    <w:multiLevelType w:val="multilevel"/>
    <w:tmpl w:val="66CB407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1650D7B"/>
    <w:multiLevelType w:val="multilevel"/>
    <w:tmpl w:val="71650D7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48C6BD6"/>
    <w:multiLevelType w:val="multilevel"/>
    <w:tmpl w:val="748C6BD6"/>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default" w:ascii="Times New Roman" w:hAnsi="Times New Roman" w:cs="Times New Roman"/>
      </w:rPr>
    </w:lvl>
    <w:lvl w:ilvl="3" w:tentative="0">
      <w:start w:val="1"/>
      <w:numFmt w:val="decimal"/>
      <w:lvlText w:val="（%4）"/>
      <w:lvlJc w:val="left"/>
      <w:pPr>
        <w:ind w:left="0" w:firstLine="0"/>
      </w:pPr>
      <w:rPr>
        <w:rFonts w:hint="default" w:ascii="Times New Roman" w:hAnsi="Times New Roman" w:cs="Times New Roman"/>
      </w:rPr>
    </w:lvl>
    <w:lvl w:ilvl="4" w:tentative="0">
      <w:start w:val="1"/>
      <w:numFmt w:val="decimal"/>
      <w:lvlText w:val="%5）"/>
      <w:lvlJc w:val="left"/>
      <w:pPr>
        <w:ind w:left="0" w:firstLine="0"/>
      </w:pPr>
      <w:rPr>
        <w:rFonts w:hint="eastAsia"/>
      </w:rPr>
    </w:lvl>
    <w:lvl w:ilvl="5" w:tentative="0">
      <w:start w:val="1"/>
      <w:numFmt w:val="decimal"/>
      <w:suff w:val="nothing"/>
      <w:lvlText w:val="&lt;%6&gt;"/>
      <w:lvlJc w:val="left"/>
      <w:pPr>
        <w:ind w:left="0" w:firstLine="0"/>
      </w:pPr>
      <w:rPr>
        <w:rFonts w:hint="default" w:ascii="Times New Roman" w:hAnsi="Times New Roman"/>
      </w:rPr>
    </w:lvl>
    <w:lvl w:ilvl="6" w:tentative="0">
      <w:start w:val="1"/>
      <w:numFmt w:val="decimal"/>
      <w:suff w:val="nothing"/>
      <w:lvlText w:val="%7&gt;"/>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abstractNum w:abstractNumId="9">
    <w:nsid w:val="7FF243B1"/>
    <w:multiLevelType w:val="multilevel"/>
    <w:tmpl w:val="7FF243B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6"/>
  </w:num>
  <w:num w:numId="3">
    <w:abstractNumId w:val="2"/>
  </w:num>
  <w:num w:numId="4">
    <w:abstractNumId w:val="5"/>
  </w:num>
  <w:num w:numId="5">
    <w:abstractNumId w:val="3"/>
  </w:num>
  <w:num w:numId="6">
    <w:abstractNumId w:val="4"/>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YTM5MGQ5NTIzZjgyNzA5NGU1Nzg4NGIyMzYxYzAifQ=="/>
  </w:docVars>
  <w:rsids>
    <w:rsidRoot w:val="003C3ABE"/>
    <w:rsid w:val="00047263"/>
    <w:rsid w:val="000B492A"/>
    <w:rsid w:val="000D47B6"/>
    <w:rsid w:val="000D4A60"/>
    <w:rsid w:val="001E421F"/>
    <w:rsid w:val="002275AD"/>
    <w:rsid w:val="00256F17"/>
    <w:rsid w:val="00257FC9"/>
    <w:rsid w:val="00267170"/>
    <w:rsid w:val="00295E8F"/>
    <w:rsid w:val="002A1597"/>
    <w:rsid w:val="002D14CC"/>
    <w:rsid w:val="002D5020"/>
    <w:rsid w:val="00300069"/>
    <w:rsid w:val="0033579D"/>
    <w:rsid w:val="00385FFE"/>
    <w:rsid w:val="003C3ABE"/>
    <w:rsid w:val="003E0BD4"/>
    <w:rsid w:val="003E1C13"/>
    <w:rsid w:val="003F2562"/>
    <w:rsid w:val="0044015F"/>
    <w:rsid w:val="00467089"/>
    <w:rsid w:val="0048256F"/>
    <w:rsid w:val="00521CF1"/>
    <w:rsid w:val="00540149"/>
    <w:rsid w:val="00544257"/>
    <w:rsid w:val="00575C45"/>
    <w:rsid w:val="005834F7"/>
    <w:rsid w:val="005A5792"/>
    <w:rsid w:val="005E23E8"/>
    <w:rsid w:val="005F34E5"/>
    <w:rsid w:val="00696368"/>
    <w:rsid w:val="006F192A"/>
    <w:rsid w:val="00701C8B"/>
    <w:rsid w:val="007C60A9"/>
    <w:rsid w:val="007E7EFF"/>
    <w:rsid w:val="00817710"/>
    <w:rsid w:val="00864026"/>
    <w:rsid w:val="008B60F5"/>
    <w:rsid w:val="008C2CAD"/>
    <w:rsid w:val="008F1A50"/>
    <w:rsid w:val="0090779B"/>
    <w:rsid w:val="009100F2"/>
    <w:rsid w:val="00913CE0"/>
    <w:rsid w:val="00922C37"/>
    <w:rsid w:val="00970529"/>
    <w:rsid w:val="00995255"/>
    <w:rsid w:val="00A63EF3"/>
    <w:rsid w:val="00AC2182"/>
    <w:rsid w:val="00B4567B"/>
    <w:rsid w:val="00B6127C"/>
    <w:rsid w:val="00B63A3F"/>
    <w:rsid w:val="00B87C96"/>
    <w:rsid w:val="00BC57DA"/>
    <w:rsid w:val="00BD3CA2"/>
    <w:rsid w:val="00C218BC"/>
    <w:rsid w:val="00C63888"/>
    <w:rsid w:val="00CA097A"/>
    <w:rsid w:val="00CA2F60"/>
    <w:rsid w:val="00CD13FC"/>
    <w:rsid w:val="00D31FEF"/>
    <w:rsid w:val="00D5204B"/>
    <w:rsid w:val="00D61E61"/>
    <w:rsid w:val="00D71A33"/>
    <w:rsid w:val="00D76C6C"/>
    <w:rsid w:val="00D858DB"/>
    <w:rsid w:val="00D95320"/>
    <w:rsid w:val="00DA4ABC"/>
    <w:rsid w:val="00DA63B3"/>
    <w:rsid w:val="00DA7E48"/>
    <w:rsid w:val="00DC7E1A"/>
    <w:rsid w:val="00E065CC"/>
    <w:rsid w:val="00E1300B"/>
    <w:rsid w:val="00E73AAB"/>
    <w:rsid w:val="00E7571F"/>
    <w:rsid w:val="00F12AF0"/>
    <w:rsid w:val="00F16D9F"/>
    <w:rsid w:val="00F223AF"/>
    <w:rsid w:val="00F45371"/>
    <w:rsid w:val="00F461EC"/>
    <w:rsid w:val="00F47664"/>
    <w:rsid w:val="00F9547E"/>
    <w:rsid w:val="00FC7F14"/>
    <w:rsid w:val="1EFE4767"/>
    <w:rsid w:val="381261A9"/>
    <w:rsid w:val="45A36F8E"/>
    <w:rsid w:val="51BE5F7E"/>
    <w:rsid w:val="538B4F95"/>
    <w:rsid w:val="562255EF"/>
    <w:rsid w:val="5D7348BE"/>
    <w:rsid w:val="5E797432"/>
    <w:rsid w:val="602C2605"/>
    <w:rsid w:val="6FB72056"/>
    <w:rsid w:val="7994034D"/>
    <w:rsid w:val="7FD0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Lines="100" w:afterLines="50"/>
      <w:outlineLvl w:val="0"/>
    </w:pPr>
    <w:rPr>
      <w:rFonts w:eastAsia="黑体"/>
      <w:b/>
      <w:bCs/>
      <w:kern w:val="44"/>
      <w:sz w:val="32"/>
      <w:szCs w:val="44"/>
    </w:rPr>
  </w:style>
  <w:style w:type="paragraph" w:styleId="3">
    <w:name w:val="heading 2"/>
    <w:basedOn w:val="1"/>
    <w:next w:val="1"/>
    <w:link w:val="16"/>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szCs w:val="20"/>
    </w:rPr>
  </w:style>
  <w:style w:type="paragraph" w:styleId="5">
    <w:name w:val="Balloon Text"/>
    <w:basedOn w:val="1"/>
    <w:link w:val="19"/>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Hyperlink"/>
    <w:qFormat/>
    <w:uiPriority w:val="0"/>
    <w:rPr>
      <w:color w:val="0558B7"/>
      <w:u w:val="none"/>
    </w:rPr>
  </w:style>
  <w:style w:type="character" w:customStyle="1" w:styleId="14">
    <w:name w:val="页眉 Char"/>
    <w:link w:val="7"/>
    <w:uiPriority w:val="0"/>
    <w:rPr>
      <w:kern w:val="2"/>
      <w:sz w:val="18"/>
      <w:szCs w:val="18"/>
    </w:rPr>
  </w:style>
  <w:style w:type="paragraph" w:styleId="15">
    <w:name w:val="List Paragraph"/>
    <w:basedOn w:val="1"/>
    <w:qFormat/>
    <w:uiPriority w:val="99"/>
    <w:pPr>
      <w:ind w:firstLine="420" w:firstLineChars="200"/>
    </w:pPr>
  </w:style>
  <w:style w:type="character" w:customStyle="1" w:styleId="16">
    <w:name w:val="标题 2 Char"/>
    <w:link w:val="3"/>
    <w:uiPriority w:val="0"/>
    <w:rPr>
      <w:rFonts w:ascii="Arial" w:hAnsi="Arial" w:eastAsia="黑体"/>
      <w:b/>
      <w:kern w:val="2"/>
      <w:sz w:val="32"/>
      <w:szCs w:val="24"/>
    </w:rPr>
  </w:style>
  <w:style w:type="paragraph" w:customStyle="1" w:styleId="17">
    <w:name w:val="正文格式"/>
    <w:basedOn w:val="1"/>
    <w:link w:val="18"/>
    <w:qFormat/>
    <w:uiPriority w:val="0"/>
    <w:pPr>
      <w:tabs>
        <w:tab w:val="left" w:pos="1032"/>
      </w:tabs>
      <w:spacing w:line="360" w:lineRule="auto"/>
      <w:ind w:left="161" w:leftChars="67" w:firstLine="566" w:firstLineChars="236"/>
    </w:pPr>
    <w:rPr>
      <w:rFonts w:ascii="宋体" w:hAnsi="宋体"/>
      <w:sz w:val="24"/>
    </w:rPr>
  </w:style>
  <w:style w:type="character" w:customStyle="1" w:styleId="18">
    <w:name w:val="正文格式 Char"/>
    <w:link w:val="17"/>
    <w:qFormat/>
    <w:uiPriority w:val="0"/>
    <w:rPr>
      <w:rFonts w:ascii="宋体" w:hAnsi="宋体"/>
      <w:kern w:val="2"/>
      <w:sz w:val="24"/>
      <w:szCs w:val="24"/>
    </w:rPr>
  </w:style>
  <w:style w:type="character" w:customStyle="1" w:styleId="19">
    <w:name w:val="批注框文本 Char"/>
    <w:link w:val="5"/>
    <w:uiPriority w:val="0"/>
    <w:rPr>
      <w:kern w:val="2"/>
      <w:sz w:val="18"/>
      <w:szCs w:val="18"/>
    </w:rPr>
  </w:style>
  <w:style w:type="character" w:customStyle="1" w:styleId="20">
    <w:name w:val="页脚 Char"/>
    <w:basedOn w:val="11"/>
    <w:link w:val="6"/>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4270</Words>
  <Characters>4370</Characters>
  <Lines>32</Lines>
  <Paragraphs>9</Paragraphs>
  <TotalTime>80</TotalTime>
  <ScaleCrop>false</ScaleCrop>
  <LinksUpToDate>false</LinksUpToDate>
  <CharactersWithSpaces>4537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2026-01-14T00:58:00Z</dcterms:created>
  <dc:creator>yaoonionny</dc:creator>
  <cp:lastModifiedBy>叶恒</cp:lastModifiedBy>
  <dcterms:modified xsi:type="dcterms:W3CDTF">2026-04-15T02:29:12Z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F9C65C57B1834431BA4C959C873CC5D8_13</vt:lpwstr>
  </property>
  <property fmtid="{D5CDD505-2E9C-101B-9397-08002B2CF9AE}" pid="4" name="KSOTemplateDocerSaveRecord">
    <vt:lpwstr>eyJoZGlkIjoiOGRiNjY5NTZlNGM2ZWEyMDU5NWNkMzUzZGQ4NWM3ZGQiLCJ1c2VySWQiOiIzMTQ0OTU4OTAifQ==</vt:lpwstr>
  </property>
</Properties>
</file>