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6F482">
      <w:pPr>
        <w:spacing w:line="440" w:lineRule="exact"/>
        <w:ind w:firstLine="0" w:firstLineChars="0"/>
        <w:jc w:val="center"/>
        <w:rPr>
          <w:rFonts w:ascii="宋体" w:hAnsi="宋体" w:cs="宋体"/>
          <w:b/>
          <w:color w:val="auto"/>
          <w:highlight w:val="none"/>
        </w:rPr>
      </w:pPr>
      <w:bookmarkStart w:id="0" w:name="_Hlk536605924"/>
      <w:r>
        <w:rPr>
          <w:rFonts w:hint="eastAsia" w:ascii="宋体" w:hAnsi="宋体" w:eastAsia="宋体" w:cs="宋体"/>
          <w:b/>
          <w:color w:val="auto"/>
          <w:highlight w:val="none"/>
        </w:rPr>
        <w:t>投标人的资格要求：</w:t>
      </w:r>
    </w:p>
    <w:p w14:paraId="002CD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</w:rPr>
        <w:t>1.投标人满足《政府采购法》第二十二条规定</w:t>
      </w: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：</w:t>
      </w:r>
    </w:p>
    <w:p w14:paraId="0FDC7E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highlight w:val="none"/>
          <w:lang w:val="zh-CN"/>
        </w:rPr>
        <w:t>①具有独立承担的能力；（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提供</w:t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有效的营业执照）</w:t>
      </w:r>
    </w:p>
    <w:p w14:paraId="2E0DC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highlight w:val="none"/>
          <w:lang w:val="zh-CN"/>
        </w:rPr>
        <w:t>②具有良好的商业信誉和健全的财务</w:t>
      </w:r>
      <w:r>
        <w:rPr>
          <w:rFonts w:hint="eastAsia" w:ascii="宋体" w:hAnsi="宋体" w:eastAsia="宋体" w:cs="宋体"/>
          <w:color w:val="auto"/>
          <w:highlight w:val="none"/>
        </w:rPr>
        <w:fldChar w:fldCharType="begin"/>
      </w:r>
      <w:r>
        <w:rPr>
          <w:rFonts w:hint="eastAsia" w:ascii="宋体" w:hAnsi="宋体" w:eastAsia="宋体" w:cs="宋体"/>
          <w:color w:val="auto"/>
          <w:highlight w:val="none"/>
        </w:rPr>
        <w:instrText xml:space="preserve"> HYPERLINK "http://www.so.com/s?q=%E4%BC%9A%E8%AE%A1%E5%88%B6%E5%BA%A6&amp;ie=utf-8&amp;src=wenda_link" \t "_blank" </w:instrText>
      </w:r>
      <w:r>
        <w:rPr>
          <w:rFonts w:hint="eastAsia" w:ascii="宋体" w:hAnsi="宋体" w:eastAsia="宋体" w:cs="宋体"/>
          <w:color w:val="auto"/>
          <w:highlight w:val="none"/>
        </w:rPr>
        <w:fldChar w:fldCharType="separate"/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会计制度</w:t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fldChar w:fldCharType="end"/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；（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提供2023年度或2024年度第三方审计报告</w:t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）</w:t>
      </w:r>
    </w:p>
    <w:p w14:paraId="73E12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highlight w:val="none"/>
          <w:lang w:val="zh-CN"/>
        </w:rPr>
        <w:t>③具有履行合同所必需的设备和专业技术能力；（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提供声明函，格式自拟</w:t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）</w:t>
      </w:r>
    </w:p>
    <w:p w14:paraId="0B42F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highlight w:val="none"/>
          <w:lang w:val="zh-CN"/>
        </w:rPr>
        <w:t>④有依法缴纳税收和</w:t>
      </w:r>
      <w:r>
        <w:rPr>
          <w:rFonts w:hint="eastAsia" w:ascii="宋体" w:hAnsi="宋体" w:eastAsia="宋体" w:cs="宋体"/>
          <w:color w:val="auto"/>
          <w:highlight w:val="none"/>
        </w:rPr>
        <w:fldChar w:fldCharType="begin"/>
      </w:r>
      <w:r>
        <w:rPr>
          <w:rFonts w:hint="eastAsia" w:ascii="宋体" w:hAnsi="宋体" w:eastAsia="宋体" w:cs="宋体"/>
          <w:color w:val="auto"/>
          <w:highlight w:val="none"/>
        </w:rPr>
        <w:instrText xml:space="preserve"> HYPERLINK "http://www.so.com/s?q=%E7%A4%BE%E4%BC%9A%E4%BF%9D%E9%9A%9C%E8%B5%84%E9%87%91&amp;ie=utf-8&amp;src=wenda_link" \t "_blank" </w:instrText>
      </w:r>
      <w:r>
        <w:rPr>
          <w:rFonts w:hint="eastAsia" w:ascii="宋体" w:hAnsi="宋体" w:eastAsia="宋体" w:cs="宋体"/>
          <w:color w:val="auto"/>
          <w:highlight w:val="none"/>
        </w:rPr>
        <w:fldChar w:fldCharType="separate"/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社会保障资金</w:t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fldChar w:fldCharType="end"/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的良好记录；（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提供投标截止前3个月任意一个月依法缴纳税收和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instrText xml:space="preserve"> HYPERLINK "http://www.so.com/s?q=%E7%A4%BE%E4%BC%9A%E4%BF%9D%E9%9A%9C%E8%B5%84%E9%87%91&amp;ie=utf-8&amp;src=wenda_link" \t "_blank" </w:instrTex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社会保障资金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证明文件</w:t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）</w:t>
      </w:r>
    </w:p>
    <w:p w14:paraId="7673E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  <w:lang w:val="zh-CN"/>
        </w:rPr>
        <w:t>⑤参加采购、招投标活动前3年内，在经营活动中没有重大违法记录和行贿犯罪记录</w:t>
      </w:r>
      <w:r>
        <w:rPr>
          <w:rFonts w:hint="eastAsia" w:ascii="宋体" w:hAnsi="宋体" w:eastAsia="宋体" w:cs="宋体"/>
          <w:color w:val="auto"/>
          <w:highlight w:val="none"/>
        </w:rPr>
        <w:t>。</w:t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提供声明函，格式自拟</w:t>
      </w:r>
      <w:r>
        <w:rPr>
          <w:rFonts w:hint="eastAsia" w:ascii="宋体" w:hAnsi="宋体" w:eastAsia="宋体" w:cs="宋体"/>
          <w:color w:val="auto"/>
          <w:highlight w:val="none"/>
          <w:lang w:val="zh-CN"/>
        </w:rPr>
        <w:t>）；</w:t>
      </w:r>
    </w:p>
    <w:p w14:paraId="65850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</w:rPr>
        <w:t>2.投标人</w:t>
      </w: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资质要求：</w:t>
      </w:r>
    </w:p>
    <w:p w14:paraId="05768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zh-CN"/>
        </w:rPr>
        <w:t>①</w:t>
      </w:r>
      <w:r>
        <w:rPr>
          <w:rFonts w:hint="eastAsia" w:ascii="宋体" w:hAnsi="宋体" w:eastAsia="宋体" w:cs="宋体"/>
          <w:bCs/>
          <w:color w:val="auto"/>
          <w:highlight w:val="none"/>
        </w:rPr>
        <w:t>具有有效期内建设行政主管部门颁发的建筑装修装饰工程专业承包</w:t>
      </w: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贰</w:t>
      </w:r>
      <w:r>
        <w:rPr>
          <w:rFonts w:hint="eastAsia" w:ascii="宋体" w:hAnsi="宋体" w:eastAsia="宋体" w:cs="宋体"/>
          <w:bCs/>
          <w:color w:val="auto"/>
          <w:highlight w:val="none"/>
        </w:rPr>
        <w:t>级</w:t>
      </w: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或以上</w:t>
      </w:r>
      <w:r>
        <w:rPr>
          <w:rFonts w:hint="eastAsia" w:ascii="宋体" w:hAnsi="宋体" w:eastAsia="宋体" w:cs="宋体"/>
          <w:bCs/>
          <w:color w:val="auto"/>
          <w:highlight w:val="none"/>
        </w:rPr>
        <w:t>资质</w:t>
      </w: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；</w:t>
      </w:r>
    </w:p>
    <w:p w14:paraId="726FDB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210" w:firstLineChars="100"/>
        <w:textAlignment w:val="auto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zh-CN"/>
        </w:rPr>
        <w:t>②</w:t>
      </w:r>
      <w:r>
        <w:rPr>
          <w:rFonts w:hint="eastAsia" w:ascii="宋体" w:hAnsi="宋体" w:eastAsia="宋体" w:cs="宋体"/>
          <w:bCs/>
          <w:color w:val="auto"/>
          <w:highlight w:val="none"/>
        </w:rPr>
        <w:t>具有有效的安全生产许可证</w:t>
      </w: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。</w:t>
      </w:r>
    </w:p>
    <w:p w14:paraId="6E9AE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bCs/>
          <w:color w:val="auto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color w:val="auto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highlight w:val="none"/>
        </w:rPr>
        <w:t>.本项目不接受联合体参加投标</w:t>
      </w:r>
      <w:r>
        <w:rPr>
          <w:rFonts w:hint="eastAsia" w:ascii="宋体" w:hAnsi="宋体" w:eastAsia="宋体" w:cs="宋体"/>
          <w:bCs/>
          <w:color w:val="auto"/>
          <w:highlight w:val="none"/>
          <w:lang w:eastAsia="zh-CN"/>
        </w:rPr>
        <w:t>；</w:t>
      </w:r>
    </w:p>
    <w:p w14:paraId="1260B342">
      <w:pP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highlight w:val="none"/>
        </w:rPr>
        <w:br w:type="page"/>
      </w:r>
      <w:bookmarkStart w:id="1" w:name="_GoBack"/>
      <w:bookmarkEnd w:id="1"/>
    </w:p>
    <w:p w14:paraId="45BE5A83">
      <w:pPr>
        <w:bidi w:val="0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评标办法及标准</w:t>
      </w:r>
    </w:p>
    <w:p w14:paraId="4B9828AC">
      <w:pPr>
        <w:autoSpaceDE w:val="0"/>
        <w:autoSpaceDN w:val="0"/>
        <w:adjustRightInd w:val="0"/>
        <w:spacing w:line="380" w:lineRule="exact"/>
        <w:jc w:val="center"/>
        <w:rPr>
          <w:rFonts w:hint="eastAsia" w:ascii="宋体" w:hAnsi="宋体" w:eastAsia="宋体" w:cs="宋体"/>
          <w:bCs/>
          <w:color w:val="auto"/>
          <w:sz w:val="18"/>
          <w:szCs w:val="18"/>
          <w:highlight w:val="none"/>
          <w:lang w:val="zh-CN"/>
        </w:rPr>
      </w:pPr>
    </w:p>
    <w:tbl>
      <w:tblPr>
        <w:tblStyle w:val="24"/>
        <w:tblpPr w:leftFromText="180" w:rightFromText="180" w:vertAnchor="text" w:tblpXSpec="center" w:tblpY="1"/>
        <w:tblOverlap w:val="never"/>
        <w:tblW w:w="4990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60"/>
        <w:gridCol w:w="6651"/>
      </w:tblGrid>
      <w:tr w14:paraId="0A1385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noWrap w:val="0"/>
            <w:vAlign w:val="center"/>
          </w:tcPr>
          <w:p w14:paraId="6B55336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评审因素</w:t>
            </w:r>
          </w:p>
        </w:tc>
        <w:tc>
          <w:tcPr>
            <w:tcW w:w="4428" w:type="pct"/>
            <w:gridSpan w:val="2"/>
            <w:noWrap w:val="0"/>
            <w:vAlign w:val="center"/>
          </w:tcPr>
          <w:p w14:paraId="2A3A65F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评审标准</w:t>
            </w:r>
          </w:p>
        </w:tc>
      </w:tr>
      <w:tr w14:paraId="1E6FC4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noWrap w:val="0"/>
            <w:vAlign w:val="center"/>
          </w:tcPr>
          <w:p w14:paraId="1DB7995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分值构成</w:t>
            </w:r>
          </w:p>
        </w:tc>
        <w:tc>
          <w:tcPr>
            <w:tcW w:w="4428" w:type="pct"/>
            <w:gridSpan w:val="2"/>
            <w:noWrap w:val="0"/>
            <w:vAlign w:val="center"/>
          </w:tcPr>
          <w:p w14:paraId="40B9CD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商务部分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.0分</w:t>
            </w:r>
          </w:p>
          <w:p w14:paraId="3531BD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技术部分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.0分</w:t>
            </w:r>
          </w:p>
          <w:p w14:paraId="6791AED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报价得分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.0分</w:t>
            </w:r>
          </w:p>
        </w:tc>
      </w:tr>
      <w:tr w14:paraId="29D6AB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vMerge w:val="restart"/>
            <w:noWrap w:val="0"/>
            <w:vAlign w:val="center"/>
          </w:tcPr>
          <w:p w14:paraId="50FC9BA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技术部分</w:t>
            </w:r>
          </w:p>
        </w:tc>
        <w:tc>
          <w:tcPr>
            <w:tcW w:w="1047" w:type="pct"/>
            <w:noWrap w:val="0"/>
            <w:vAlign w:val="center"/>
          </w:tcPr>
          <w:p w14:paraId="52617BB1">
            <w:pPr>
              <w:spacing w:line="35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</w:rPr>
              <w:t>项目整体实施组织方案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15分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380" w:type="pct"/>
            <w:noWrap w:val="0"/>
            <w:vAlign w:val="center"/>
          </w:tcPr>
          <w:p w14:paraId="43E4F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根据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所提供针对本项目项目整体实施组织方案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包含但不限于：施工总体部署、施工总体流程、资源配备计划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施工方法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、技术保证措施、）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zh-CN" w:eastAsia="zh-CN"/>
              </w:rPr>
              <w:t>进行评审</w:t>
            </w:r>
          </w:p>
          <w:p w14:paraId="0906A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（1）内容完整详细，针对性强，得15分； </w:t>
            </w:r>
          </w:p>
          <w:p w14:paraId="5D94F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（2）内容较完整，得10分；</w:t>
            </w:r>
          </w:p>
          <w:p w14:paraId="3A6AD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（3）内容有缺漏，得5分；</w:t>
            </w:r>
          </w:p>
          <w:p w14:paraId="4C829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注：未提供方案不得分。</w:t>
            </w:r>
          </w:p>
        </w:tc>
      </w:tr>
      <w:tr w14:paraId="68A4E7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vMerge w:val="continue"/>
            <w:noWrap w:val="0"/>
            <w:vAlign w:val="center"/>
          </w:tcPr>
          <w:p w14:paraId="5B7FD01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07034CE2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施工进度计划和工期</w:t>
            </w:r>
          </w:p>
          <w:p w14:paraId="48E4C71A">
            <w:pPr>
              <w:spacing w:line="35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15分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380" w:type="pct"/>
            <w:noWrap w:val="0"/>
            <w:vAlign w:val="center"/>
          </w:tcPr>
          <w:p w14:paraId="637B9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根据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所提供的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施工进度计划和工期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包含但不限于工期目标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施工进度计划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保证措施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进行评审</w:t>
            </w:r>
          </w:p>
          <w:p w14:paraId="46812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（1）内容完整详细，针对性强，得15分； </w:t>
            </w:r>
          </w:p>
          <w:p w14:paraId="7A2DD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（2）内容较完整，得10分；</w:t>
            </w:r>
          </w:p>
          <w:p w14:paraId="7BD46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（3）内容有缺漏，得5分；</w:t>
            </w:r>
          </w:p>
          <w:p w14:paraId="7A844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注：未提供方案不得分。</w:t>
            </w:r>
          </w:p>
        </w:tc>
      </w:tr>
      <w:tr w14:paraId="16D234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vMerge w:val="continue"/>
            <w:noWrap w:val="0"/>
            <w:vAlign w:val="center"/>
          </w:tcPr>
          <w:p w14:paraId="068A97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09AADC9F">
            <w:pPr>
              <w:spacing w:line="35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安全施工、文明施工与环境保护措施</w:t>
            </w:r>
          </w:p>
          <w:p w14:paraId="40C00407">
            <w:pPr>
              <w:spacing w:line="35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15分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380" w:type="pct"/>
            <w:noWrap w:val="0"/>
            <w:vAlign w:val="center"/>
          </w:tcPr>
          <w:p w14:paraId="4B177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根据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所提供的安全文明施工措施方案（包括但不限于安全文明施工措施，安全生产规章制度、安全生产管理体系、安全责任制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、环境保护体系及措施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）进行评审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zh-CN" w:eastAsia="zh-CN"/>
              </w:rPr>
              <w:t>。</w:t>
            </w:r>
          </w:p>
          <w:p w14:paraId="3A5E3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（1）内容完整详细，针对性强，得15分； </w:t>
            </w:r>
          </w:p>
          <w:p w14:paraId="44C98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（2）内容较完整，得10分；</w:t>
            </w:r>
          </w:p>
          <w:p w14:paraId="65D51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（3）内容有缺漏，得5分；</w:t>
            </w:r>
          </w:p>
          <w:p w14:paraId="223AF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注：未提供方案不得分。</w:t>
            </w:r>
          </w:p>
        </w:tc>
      </w:tr>
      <w:tr w14:paraId="345D38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vMerge w:val="continue"/>
            <w:noWrap w:val="0"/>
            <w:vAlign w:val="center"/>
          </w:tcPr>
          <w:p w14:paraId="0BB1B00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3DF7F953">
            <w:pPr>
              <w:spacing w:line="276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质量保证措施</w:t>
            </w:r>
          </w:p>
          <w:p w14:paraId="045EEA19">
            <w:pPr>
              <w:spacing w:line="35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val="en-US" w:eastAsia="zh-CN"/>
              </w:rPr>
              <w:t>15分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380" w:type="pct"/>
            <w:noWrap w:val="0"/>
            <w:vAlign w:val="center"/>
          </w:tcPr>
          <w:p w14:paraId="63F71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根据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所提供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质量保证措施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zh-CN" w:eastAsia="zh-CN"/>
              </w:rPr>
              <w:t>（包括但不限于质量目标、质量保证体系、质量承诺、对影响工程质量的原因采取预防和纠正措施、材料采购、过程控制及检验、分项措施等的响应）进行评审。</w:t>
            </w:r>
          </w:p>
          <w:p w14:paraId="230B1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 xml:space="preserve">（1）内容完整详细，针对性强，得15分； </w:t>
            </w:r>
          </w:p>
          <w:p w14:paraId="588AF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（2）内容较完整，得10分；</w:t>
            </w:r>
          </w:p>
          <w:p w14:paraId="32D23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（3）内容有缺漏，得5分；</w:t>
            </w:r>
          </w:p>
          <w:p w14:paraId="51CC1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注：未提供方案不得分。</w:t>
            </w:r>
          </w:p>
        </w:tc>
      </w:tr>
      <w:tr w14:paraId="0D7293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vMerge w:val="restart"/>
            <w:noWrap w:val="0"/>
            <w:vAlign w:val="center"/>
          </w:tcPr>
          <w:p w14:paraId="3C72F5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商务部分</w:t>
            </w:r>
          </w:p>
        </w:tc>
        <w:tc>
          <w:tcPr>
            <w:tcW w:w="1047" w:type="pct"/>
            <w:vMerge w:val="restart"/>
            <w:noWrap w:val="0"/>
            <w:vAlign w:val="center"/>
          </w:tcPr>
          <w:p w14:paraId="08A646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实力</w:t>
            </w:r>
          </w:p>
          <w:p w14:paraId="6503D10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分)</w:t>
            </w:r>
          </w:p>
        </w:tc>
        <w:tc>
          <w:tcPr>
            <w:tcW w:w="3380" w:type="pct"/>
            <w:noWrap w:val="0"/>
            <w:vAlign w:val="center"/>
          </w:tcPr>
          <w:p w14:paraId="05394E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1、投标人具有与本项目相关的体系认证证书，证书应包含类似“医疗系统工程施工”范围。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提供1个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2分，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满分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 w14:paraId="10DD38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评审依据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提供有效的相关证书原件扫描件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zh-CN" w:eastAsia="zh-CN"/>
              </w:rPr>
              <w:t>加盖公章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及全国认证认可信息公共服务平台（http://cx.cnca.cn/CertECloud/index/index/page）网页查询截图，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未提供或证书数量不足或认证范围不满足要求不得分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。</w:t>
            </w:r>
          </w:p>
        </w:tc>
      </w:tr>
      <w:tr w14:paraId="5A4E30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vMerge w:val="continue"/>
            <w:noWrap w:val="0"/>
            <w:vAlign w:val="center"/>
          </w:tcPr>
          <w:p w14:paraId="422B08C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pct"/>
            <w:vMerge w:val="continue"/>
            <w:noWrap w:val="0"/>
            <w:vAlign w:val="center"/>
          </w:tcPr>
          <w:p w14:paraId="7F59DC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80" w:type="pct"/>
            <w:noWrap w:val="0"/>
            <w:vAlign w:val="center"/>
          </w:tcPr>
          <w:p w14:paraId="7DCE9C2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投标人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连续五年或以上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获得纳税信用A级证书，得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0995C8C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评审依据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提供相关证明资料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原件扫描件加盖公章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，不提供不得分。</w:t>
            </w:r>
          </w:p>
        </w:tc>
      </w:tr>
      <w:tr w14:paraId="27E206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vMerge w:val="continue"/>
            <w:noWrap w:val="0"/>
            <w:vAlign w:val="center"/>
          </w:tcPr>
          <w:p w14:paraId="270764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pct"/>
            <w:vMerge w:val="continue"/>
            <w:noWrap w:val="0"/>
            <w:vAlign w:val="center"/>
          </w:tcPr>
          <w:p w14:paraId="3F60D9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80" w:type="pct"/>
            <w:noWrap w:val="0"/>
            <w:vAlign w:val="center"/>
          </w:tcPr>
          <w:p w14:paraId="23D28341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投标人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连续五年或以上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获得省级或以上诚信示范企业，得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  <w:p w14:paraId="4EE57A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评审依据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提供相关证明资料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原件扫描件加盖公章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，不提供不得分。</w:t>
            </w:r>
          </w:p>
        </w:tc>
      </w:tr>
      <w:tr w14:paraId="056DB1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vMerge w:val="continue"/>
            <w:noWrap w:val="0"/>
            <w:vAlign w:val="center"/>
          </w:tcPr>
          <w:p w14:paraId="56E0C0E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pct"/>
            <w:vMerge w:val="restart"/>
            <w:noWrap w:val="0"/>
            <w:vAlign w:val="center"/>
          </w:tcPr>
          <w:p w14:paraId="7846172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团队投入</w:t>
            </w:r>
          </w:p>
          <w:p w14:paraId="608E805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分)</w:t>
            </w:r>
          </w:p>
        </w:tc>
        <w:tc>
          <w:tcPr>
            <w:tcW w:w="3380" w:type="pct"/>
            <w:noWrap w:val="0"/>
            <w:vAlign w:val="center"/>
          </w:tcPr>
          <w:p w14:paraId="656FD8CC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1、拟派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项目负责人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具有机电或建筑工程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相关专业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中级或以上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工程师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职称得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bidi="ar"/>
              </w:rPr>
              <w:t>分。</w:t>
            </w:r>
          </w:p>
          <w:p w14:paraId="6B6EF377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评审依据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提供职称证书、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zh-CN" w:eastAsia="zh-CN"/>
              </w:rPr>
              <w:t>投标截止之日前连续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zh-CN" w:eastAsia="zh-CN"/>
              </w:rPr>
              <w:t>个月投标人为其缴纳的社保证明文件原件扫描件加盖公章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，所需证明材料齐全得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分，资料不全或未提供的不得分。</w:t>
            </w:r>
          </w:p>
        </w:tc>
      </w:tr>
      <w:tr w14:paraId="75A8EF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vMerge w:val="continue"/>
            <w:noWrap w:val="0"/>
            <w:vAlign w:val="center"/>
          </w:tcPr>
          <w:p w14:paraId="150CBFB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pct"/>
            <w:vMerge w:val="continue"/>
            <w:noWrap w:val="0"/>
            <w:vAlign w:val="center"/>
          </w:tcPr>
          <w:p w14:paraId="66B2CE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3380" w:type="pct"/>
            <w:noWrap w:val="0"/>
            <w:vAlign w:val="center"/>
          </w:tcPr>
          <w:p w14:paraId="6B222224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拟派项目负责人自2021年1月1日至今,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参与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完成过质量合格的类似工程业绩情况。每提供1项业绩得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分，满分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01926358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注:类似工程业绩指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医疗行业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相关装修(或改造工程)施工业绩。</w:t>
            </w:r>
          </w:p>
          <w:p w14:paraId="7D2F5054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评审依据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同时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中标网页公示截图、中标通知书、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施工合同(关键页)和竣工验收报告(或竣工验收证明)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 w14:paraId="565C88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vMerge w:val="continue"/>
            <w:noWrap w:val="0"/>
            <w:vAlign w:val="center"/>
          </w:tcPr>
          <w:p w14:paraId="1B7BAD2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179B23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类似业绩</w:t>
            </w:r>
          </w:p>
          <w:p w14:paraId="19642F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</w:rPr>
              <w:t>分)</w:t>
            </w:r>
          </w:p>
        </w:tc>
        <w:tc>
          <w:tcPr>
            <w:tcW w:w="3380" w:type="pct"/>
            <w:noWrap w:val="0"/>
            <w:vAlign w:val="center"/>
          </w:tcPr>
          <w:p w14:paraId="60ED059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投标人自20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年1月1日（以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合同协议书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时间为准）以来承接过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十个或以上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类似工程业绩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分。</w:t>
            </w:r>
          </w:p>
          <w:p w14:paraId="559DC763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注:类似工程业绩指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医疗行业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相关装修(或改造工程)施工业绩。</w:t>
            </w:r>
          </w:p>
          <w:p w14:paraId="41D9B07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评审依据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同时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中标网页公示截图、中标通知书、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施工合同(关键页)扫描件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zh-CN" w:eastAsia="zh-CN"/>
              </w:rPr>
              <w:t>加盖公章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，资料不全或未提供的不得分。</w:t>
            </w:r>
          </w:p>
        </w:tc>
      </w:tr>
      <w:tr w14:paraId="5F0851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71" w:type="pct"/>
            <w:noWrap w:val="0"/>
            <w:vAlign w:val="center"/>
          </w:tcPr>
          <w:p w14:paraId="2E02BA2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投标报价</w:t>
            </w:r>
          </w:p>
        </w:tc>
        <w:tc>
          <w:tcPr>
            <w:tcW w:w="1047" w:type="pct"/>
            <w:noWrap w:val="0"/>
            <w:vAlign w:val="center"/>
          </w:tcPr>
          <w:p w14:paraId="421010F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投标报价得分</w:t>
            </w:r>
          </w:p>
          <w:p w14:paraId="24F4A0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 xml:space="preserve"> (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0.0分)</w:t>
            </w:r>
          </w:p>
        </w:tc>
        <w:tc>
          <w:tcPr>
            <w:tcW w:w="3380" w:type="pct"/>
            <w:noWrap w:val="0"/>
            <w:vAlign w:val="center"/>
          </w:tcPr>
          <w:p w14:paraId="21D8AA8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投标报价得分＝（评标基准价/投标报价）×价格分值【注：满足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eastAsia="zh-CN"/>
              </w:rPr>
              <w:t>竞争性磋商文件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</w:rPr>
              <w:t>要求且投标价格最低的投标报价为评标基准价。】最低报价不是中标的唯一依据。因落实政府采购政策进行价格调整的，以调整后的价格计算评标基准价和投标报价。</w:t>
            </w:r>
          </w:p>
        </w:tc>
      </w:tr>
    </w:tbl>
    <w:p w14:paraId="2A7D9336">
      <w:pPr>
        <w:pStyle w:val="9"/>
        <w:rPr>
          <w:rFonts w:hint="eastAsia"/>
          <w:lang w:val="zh-CN"/>
        </w:rPr>
      </w:pPr>
    </w:p>
    <w:bookmarkEnd w:id="0"/>
    <w:p w14:paraId="1B585E06">
      <w:pPr>
        <w:rPr>
          <w:rFonts w:ascii="宋体" w:hAnsi="宋体" w:eastAsia="宋体" w:cs="宋体"/>
          <w:color w:val="auto"/>
          <w:kern w:val="0"/>
          <w:szCs w:val="21"/>
          <w:highlight w:val="none"/>
          <w:lang w:bidi="ar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14B0F">
    <w:pPr>
      <w:pStyle w:val="1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997F23">
                          <w:pPr>
                            <w:pStyle w:val="1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997F23">
                    <w:pPr>
                      <w:pStyle w:val="1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0MTNmMGJmZGE2YmM2OWRlYjRkMDI3MDZmMzFmYzgifQ=="/>
    <w:docVar w:name="KSO_WPS_MARK_KEY" w:val="a56a99e2-6920-46ee-a3a5-49c967a7ce96"/>
  </w:docVars>
  <w:rsids>
    <w:rsidRoot w:val="00172A27"/>
    <w:rsid w:val="0002384D"/>
    <w:rsid w:val="00027E54"/>
    <w:rsid w:val="00042776"/>
    <w:rsid w:val="0004737B"/>
    <w:rsid w:val="00064D9C"/>
    <w:rsid w:val="000B2641"/>
    <w:rsid w:val="00101582"/>
    <w:rsid w:val="00121C39"/>
    <w:rsid w:val="00172A27"/>
    <w:rsid w:val="00180007"/>
    <w:rsid w:val="001810B5"/>
    <w:rsid w:val="00192931"/>
    <w:rsid w:val="001B02DC"/>
    <w:rsid w:val="00200A22"/>
    <w:rsid w:val="0022217C"/>
    <w:rsid w:val="00244840"/>
    <w:rsid w:val="00263624"/>
    <w:rsid w:val="002905AA"/>
    <w:rsid w:val="002C42B1"/>
    <w:rsid w:val="00396625"/>
    <w:rsid w:val="003A79B3"/>
    <w:rsid w:val="00400C00"/>
    <w:rsid w:val="00422BA4"/>
    <w:rsid w:val="00422DCA"/>
    <w:rsid w:val="004A29AC"/>
    <w:rsid w:val="004E0863"/>
    <w:rsid w:val="004E0E5C"/>
    <w:rsid w:val="004E4613"/>
    <w:rsid w:val="00503C8B"/>
    <w:rsid w:val="00523559"/>
    <w:rsid w:val="005463AE"/>
    <w:rsid w:val="00553722"/>
    <w:rsid w:val="005B05EB"/>
    <w:rsid w:val="00606CD6"/>
    <w:rsid w:val="006216EE"/>
    <w:rsid w:val="0065491D"/>
    <w:rsid w:val="006717AA"/>
    <w:rsid w:val="0067795A"/>
    <w:rsid w:val="00680378"/>
    <w:rsid w:val="00680938"/>
    <w:rsid w:val="00683DB2"/>
    <w:rsid w:val="006C4E05"/>
    <w:rsid w:val="006D61A5"/>
    <w:rsid w:val="00752CF3"/>
    <w:rsid w:val="00770138"/>
    <w:rsid w:val="0079761B"/>
    <w:rsid w:val="007B3205"/>
    <w:rsid w:val="007C50E8"/>
    <w:rsid w:val="00820015"/>
    <w:rsid w:val="008370BE"/>
    <w:rsid w:val="00882644"/>
    <w:rsid w:val="008B1382"/>
    <w:rsid w:val="008C3E75"/>
    <w:rsid w:val="008E747A"/>
    <w:rsid w:val="008E7625"/>
    <w:rsid w:val="00935F8A"/>
    <w:rsid w:val="00952A5D"/>
    <w:rsid w:val="00991378"/>
    <w:rsid w:val="00A074AE"/>
    <w:rsid w:val="00A60B70"/>
    <w:rsid w:val="00A76C57"/>
    <w:rsid w:val="00AD15A9"/>
    <w:rsid w:val="00AD2710"/>
    <w:rsid w:val="00B2073F"/>
    <w:rsid w:val="00B227EA"/>
    <w:rsid w:val="00B95941"/>
    <w:rsid w:val="00BB24F3"/>
    <w:rsid w:val="00BC6258"/>
    <w:rsid w:val="00BF2808"/>
    <w:rsid w:val="00BF2E4C"/>
    <w:rsid w:val="00C51452"/>
    <w:rsid w:val="00C604FF"/>
    <w:rsid w:val="00C65EAC"/>
    <w:rsid w:val="00D05E5F"/>
    <w:rsid w:val="00D47558"/>
    <w:rsid w:val="00D53FA3"/>
    <w:rsid w:val="00D73A8F"/>
    <w:rsid w:val="00DC6D68"/>
    <w:rsid w:val="00DE4760"/>
    <w:rsid w:val="00DF5C14"/>
    <w:rsid w:val="00E20927"/>
    <w:rsid w:val="00E347C4"/>
    <w:rsid w:val="00EA7103"/>
    <w:rsid w:val="00F11C27"/>
    <w:rsid w:val="00F1325F"/>
    <w:rsid w:val="00F32481"/>
    <w:rsid w:val="00F5222D"/>
    <w:rsid w:val="00F8520C"/>
    <w:rsid w:val="00FA531F"/>
    <w:rsid w:val="00FA7DB9"/>
    <w:rsid w:val="015D69E7"/>
    <w:rsid w:val="02C1356F"/>
    <w:rsid w:val="04C37937"/>
    <w:rsid w:val="077324B0"/>
    <w:rsid w:val="0A386602"/>
    <w:rsid w:val="0B372620"/>
    <w:rsid w:val="1091502E"/>
    <w:rsid w:val="10BC77F0"/>
    <w:rsid w:val="137C390C"/>
    <w:rsid w:val="15B94ECB"/>
    <w:rsid w:val="1670755D"/>
    <w:rsid w:val="196939F2"/>
    <w:rsid w:val="1AC342E1"/>
    <w:rsid w:val="1D4E55A7"/>
    <w:rsid w:val="1DAD4EA3"/>
    <w:rsid w:val="1EE53317"/>
    <w:rsid w:val="1F43738D"/>
    <w:rsid w:val="219E4DBC"/>
    <w:rsid w:val="230B129E"/>
    <w:rsid w:val="240A3A6C"/>
    <w:rsid w:val="259049AF"/>
    <w:rsid w:val="25975FC6"/>
    <w:rsid w:val="26F031F8"/>
    <w:rsid w:val="270B2755"/>
    <w:rsid w:val="29C61BC4"/>
    <w:rsid w:val="2CB01DDA"/>
    <w:rsid w:val="2E8B1E40"/>
    <w:rsid w:val="306365DD"/>
    <w:rsid w:val="323D263B"/>
    <w:rsid w:val="36146F36"/>
    <w:rsid w:val="37A60DB8"/>
    <w:rsid w:val="3AEA64B7"/>
    <w:rsid w:val="3B05432D"/>
    <w:rsid w:val="3E5A5EE7"/>
    <w:rsid w:val="3F714F5F"/>
    <w:rsid w:val="41E06866"/>
    <w:rsid w:val="42D15A46"/>
    <w:rsid w:val="436D6DE8"/>
    <w:rsid w:val="4402006F"/>
    <w:rsid w:val="443A3C0D"/>
    <w:rsid w:val="44D02A12"/>
    <w:rsid w:val="497C4B99"/>
    <w:rsid w:val="4A374FC7"/>
    <w:rsid w:val="4A7E7217"/>
    <w:rsid w:val="4B9506C1"/>
    <w:rsid w:val="4C0E5376"/>
    <w:rsid w:val="4C425F6A"/>
    <w:rsid w:val="4CAF0B79"/>
    <w:rsid w:val="4D3E4893"/>
    <w:rsid w:val="4DCD7379"/>
    <w:rsid w:val="4DEA04F5"/>
    <w:rsid w:val="4FC32A77"/>
    <w:rsid w:val="506A26C5"/>
    <w:rsid w:val="51436AFD"/>
    <w:rsid w:val="53D13E85"/>
    <w:rsid w:val="54A650AF"/>
    <w:rsid w:val="59412037"/>
    <w:rsid w:val="5A3A5E50"/>
    <w:rsid w:val="5CEA5131"/>
    <w:rsid w:val="61747918"/>
    <w:rsid w:val="62125627"/>
    <w:rsid w:val="62721F6C"/>
    <w:rsid w:val="6355756E"/>
    <w:rsid w:val="661C0E07"/>
    <w:rsid w:val="66D56F34"/>
    <w:rsid w:val="697A53D0"/>
    <w:rsid w:val="69C42446"/>
    <w:rsid w:val="6B454EC0"/>
    <w:rsid w:val="6C125D77"/>
    <w:rsid w:val="6CD155C9"/>
    <w:rsid w:val="6EB153BA"/>
    <w:rsid w:val="6F297D8E"/>
    <w:rsid w:val="6FBF5751"/>
    <w:rsid w:val="716D2A9B"/>
    <w:rsid w:val="71C345A3"/>
    <w:rsid w:val="739B657B"/>
    <w:rsid w:val="74F6722B"/>
    <w:rsid w:val="7581743D"/>
    <w:rsid w:val="78A50A7C"/>
    <w:rsid w:val="78E6545B"/>
    <w:rsid w:val="79660E24"/>
    <w:rsid w:val="7A815F2C"/>
    <w:rsid w:val="7E5A528F"/>
    <w:rsid w:val="7F08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405"/>
      </w:tabs>
      <w:spacing w:line="300" w:lineRule="auto"/>
      <w:ind w:left="405" w:hanging="405"/>
      <w:jc w:val="left"/>
      <w:outlineLvl w:val="0"/>
    </w:pPr>
    <w:rPr>
      <w:rFonts w:ascii="Times New Roman" w:hAnsi="Times New Roman" w:eastAsia="Calibri"/>
      <w:b/>
      <w:sz w:val="28"/>
      <w:szCs w:val="20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link w:val="28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47"/>
    <w:qFormat/>
    <w:uiPriority w:val="0"/>
    <w:pPr>
      <w:ind w:firstLine="420"/>
      <w:jc w:val="left"/>
    </w:pPr>
    <w:rPr>
      <w:rFonts w:ascii="仿宋_GB2312" w:hAnsi="Times New Roman" w:eastAsia="宋体" w:cs="Times New Roman"/>
      <w:sz w:val="24"/>
      <w:szCs w:val="20"/>
    </w:rPr>
  </w:style>
  <w:style w:type="paragraph" w:styleId="7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</w:rPr>
  </w:style>
  <w:style w:type="paragraph" w:styleId="8">
    <w:name w:val="annotation text"/>
    <w:basedOn w:val="1"/>
    <w:link w:val="40"/>
    <w:qFormat/>
    <w:uiPriority w:val="0"/>
    <w:pPr>
      <w:jc w:val="left"/>
    </w:pPr>
  </w:style>
  <w:style w:type="paragraph" w:styleId="9">
    <w:name w:val="Body Text"/>
    <w:basedOn w:val="1"/>
    <w:next w:val="10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lang w:val="en-US" w:eastAsia="zh-CN" w:bidi="ar-SA"/>
    </w:rPr>
  </w:style>
  <w:style w:type="paragraph" w:styleId="11">
    <w:name w:val="Body Text Indent"/>
    <w:basedOn w:val="1"/>
    <w:link w:val="45"/>
    <w:qFormat/>
    <w:uiPriority w:val="0"/>
    <w:pPr>
      <w:spacing w:after="120"/>
      <w:ind w:left="420" w:leftChars="200"/>
    </w:pPr>
  </w:style>
  <w:style w:type="paragraph" w:styleId="12">
    <w:name w:val="toc 3"/>
    <w:basedOn w:val="1"/>
    <w:next w:val="1"/>
    <w:qFormat/>
    <w:uiPriority w:val="0"/>
    <w:pPr>
      <w:ind w:left="840" w:leftChars="400"/>
    </w:pPr>
  </w:style>
  <w:style w:type="paragraph" w:styleId="13">
    <w:name w:val="Plain Text"/>
    <w:basedOn w:val="1"/>
    <w:link w:val="42"/>
    <w:qFormat/>
    <w:uiPriority w:val="0"/>
    <w:rPr>
      <w:rFonts w:ascii="宋体" w:hAnsi="Courier New" w:eastAsia="宋体" w:cs="Times New Roman"/>
      <w:szCs w:val="20"/>
    </w:rPr>
  </w:style>
  <w:style w:type="paragraph" w:styleId="14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0"/>
  </w:style>
  <w:style w:type="paragraph" w:styleId="17">
    <w:name w:val="toc 2"/>
    <w:basedOn w:val="1"/>
    <w:next w:val="1"/>
    <w:qFormat/>
    <w:uiPriority w:val="0"/>
    <w:pPr>
      <w:ind w:left="420" w:leftChars="200"/>
    </w:p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9">
    <w:name w:val="index 1"/>
    <w:basedOn w:val="1"/>
    <w:next w:val="1"/>
    <w:qFormat/>
    <w:uiPriority w:val="0"/>
    <w:pPr>
      <w:widowControl/>
      <w:spacing w:line="360" w:lineRule="auto"/>
      <w:ind w:left="240" w:hanging="240"/>
      <w:jc w:val="left"/>
    </w:pPr>
    <w:rPr>
      <w:rFonts w:ascii="Arial" w:hAnsi="Arial" w:eastAsia="宋体" w:cs="Arial"/>
      <w:kern w:val="0"/>
      <w:sz w:val="24"/>
      <w:szCs w:val="21"/>
    </w:rPr>
  </w:style>
  <w:style w:type="paragraph" w:styleId="20">
    <w:name w:val="Title"/>
    <w:basedOn w:val="1"/>
    <w:next w:val="1"/>
    <w:link w:val="44"/>
    <w:qFormat/>
    <w:uiPriority w:val="0"/>
    <w:pPr>
      <w:jc w:val="center"/>
    </w:pPr>
    <w:rPr>
      <w:rFonts w:ascii="Arial" w:hAnsi="Arial" w:eastAsia="宋体" w:cs="Times New Roman"/>
      <w:b/>
      <w:kern w:val="0"/>
      <w:sz w:val="36"/>
      <w:szCs w:val="20"/>
      <w:lang w:eastAsia="en-US"/>
    </w:rPr>
  </w:style>
  <w:style w:type="paragraph" w:styleId="21">
    <w:name w:val="annotation subject"/>
    <w:basedOn w:val="8"/>
    <w:next w:val="8"/>
    <w:link w:val="41"/>
    <w:qFormat/>
    <w:uiPriority w:val="0"/>
    <w:rPr>
      <w:b/>
      <w:bCs/>
    </w:rPr>
  </w:style>
  <w:style w:type="paragraph" w:styleId="22">
    <w:name w:val="Body Text First Indent"/>
    <w:basedOn w:val="9"/>
    <w:qFormat/>
    <w:uiPriority w:val="0"/>
    <w:pPr>
      <w:ind w:firstLine="420" w:firstLineChars="100"/>
    </w:pPr>
  </w:style>
  <w:style w:type="paragraph" w:styleId="23">
    <w:name w:val="Body Text First Indent 2"/>
    <w:basedOn w:val="11"/>
    <w:next w:val="1"/>
    <w:link w:val="46"/>
    <w:qFormat/>
    <w:uiPriority w:val="0"/>
    <w:pPr>
      <w:ind w:firstLine="420" w:firstLineChars="200"/>
      <w:jc w:val="left"/>
    </w:pPr>
    <w:rPr>
      <w:rFonts w:ascii="Times New Roman" w:hAnsi="Times New Roman" w:eastAsia="宋体" w:cs="Times New Roman"/>
    </w:rPr>
  </w:style>
  <w:style w:type="table" w:styleId="25">
    <w:name w:val="Table Grid"/>
    <w:basedOn w:val="2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7">
    <w:name w:val="annotation reference"/>
    <w:basedOn w:val="26"/>
    <w:qFormat/>
    <w:uiPriority w:val="0"/>
    <w:rPr>
      <w:sz w:val="21"/>
      <w:szCs w:val="21"/>
    </w:rPr>
  </w:style>
  <w:style w:type="character" w:customStyle="1" w:styleId="28">
    <w:name w:val="标题 3 字符"/>
    <w:link w:val="5"/>
    <w:qFormat/>
    <w:uiPriority w:val="0"/>
    <w:rPr>
      <w:b/>
      <w:sz w:val="32"/>
    </w:rPr>
  </w:style>
  <w:style w:type="character" w:customStyle="1" w:styleId="29">
    <w:name w:val="font01"/>
    <w:basedOn w:val="2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0">
    <w:name w:val="font21"/>
    <w:basedOn w:val="2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1">
    <w:name w:val="font11"/>
    <w:basedOn w:val="2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">
    <w:name w:val="font71"/>
    <w:basedOn w:val="2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33">
    <w:name w:val="font61"/>
    <w:basedOn w:val="2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34">
    <w:name w:val="正文 New New New New New New New New New New New"/>
    <w:qFormat/>
    <w:uiPriority w:val="0"/>
    <w:pPr>
      <w:widowControl w:val="0"/>
      <w:jc w:val="both"/>
    </w:pPr>
    <w:rPr>
      <w:rFonts w:ascii="宋体" w:hAnsi="宋体" w:eastAsia="宋体" w:cs="Times New Roman"/>
      <w:kern w:val="16"/>
      <w:sz w:val="21"/>
      <w:szCs w:val="24"/>
      <w:lang w:val="en-US" w:eastAsia="zh-CN" w:bidi="ar-SA"/>
    </w:rPr>
  </w:style>
  <w:style w:type="paragraph" w:customStyle="1" w:styleId="35">
    <w:name w:val="表格样式 2"/>
    <w:qFormat/>
    <w:uiPriority w:val="0"/>
    <w:rPr>
      <w:rFonts w:ascii="Helvetica" w:hAnsi="Helvetica" w:eastAsia="Helvetica" w:cs="Times New Roman"/>
      <w:color w:val="000000"/>
      <w:lang w:val="en-US" w:eastAsia="zh-CN" w:bidi="ar-SA"/>
    </w:rPr>
  </w:style>
  <w:style w:type="paragraph" w:styleId="36">
    <w:name w:val="List Paragraph"/>
    <w:basedOn w:val="1"/>
    <w:link w:val="43"/>
    <w:unhideWhenUsed/>
    <w:qFormat/>
    <w:uiPriority w:val="0"/>
    <w:pPr>
      <w:ind w:firstLine="420" w:firstLineChars="200"/>
    </w:pPr>
  </w:style>
  <w:style w:type="character" w:customStyle="1" w:styleId="37">
    <w:name w:val="页眉 字符"/>
    <w:basedOn w:val="26"/>
    <w:link w:val="1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8">
    <w:name w:val="页脚 字符"/>
    <w:basedOn w:val="26"/>
    <w:link w:val="1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9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40">
    <w:name w:val="批注文字 字符"/>
    <w:basedOn w:val="26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1">
    <w:name w:val="批注主题 字符"/>
    <w:basedOn w:val="40"/>
    <w:link w:val="21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42">
    <w:name w:val="纯文本 字符"/>
    <w:basedOn w:val="26"/>
    <w:link w:val="13"/>
    <w:qFormat/>
    <w:uiPriority w:val="0"/>
    <w:rPr>
      <w:rFonts w:ascii="宋体" w:hAnsi="Courier New"/>
      <w:kern w:val="2"/>
      <w:sz w:val="21"/>
    </w:rPr>
  </w:style>
  <w:style w:type="character" w:customStyle="1" w:styleId="43">
    <w:name w:val="列表段落 字符"/>
    <w:link w:val="36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4">
    <w:name w:val="标题 字符"/>
    <w:basedOn w:val="26"/>
    <w:link w:val="20"/>
    <w:qFormat/>
    <w:uiPriority w:val="0"/>
    <w:rPr>
      <w:rFonts w:ascii="Arial" w:hAnsi="Arial"/>
      <w:b/>
      <w:sz w:val="36"/>
      <w:lang w:eastAsia="en-US"/>
    </w:rPr>
  </w:style>
  <w:style w:type="character" w:customStyle="1" w:styleId="45">
    <w:name w:val="正文文本缩进 字符"/>
    <w:basedOn w:val="26"/>
    <w:link w:val="11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6">
    <w:name w:val="正文文本首行缩进 2 字符"/>
    <w:basedOn w:val="45"/>
    <w:link w:val="2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7">
    <w:name w:val="正文缩进 字符"/>
    <w:link w:val="4"/>
    <w:qFormat/>
    <w:uiPriority w:val="0"/>
    <w:rPr>
      <w:rFonts w:ascii="仿宋_GB2312"/>
      <w:kern w:val="2"/>
      <w:sz w:val="24"/>
    </w:rPr>
  </w:style>
  <w:style w:type="paragraph" w:customStyle="1" w:styleId="48">
    <w:name w:val="List Paragraph1"/>
    <w:basedOn w:val="1"/>
    <w:qFormat/>
    <w:uiPriority w:val="34"/>
    <w:pPr>
      <w:ind w:left="820" w:hanging="525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1555</Words>
  <Characters>1677</Characters>
  <Lines>224</Lines>
  <Paragraphs>63</Paragraphs>
  <TotalTime>0</TotalTime>
  <ScaleCrop>false</ScaleCrop>
  <LinksUpToDate>false</LinksUpToDate>
  <CharactersWithSpaces>1679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2023-02-11T09:49:00Z</dcterms:created>
  <dc:creator>陌生人！请不要靠近</dc:creator>
  <cp:lastModifiedBy>Tangtang</cp:lastModifiedBy>
  <dcterms:modified xsi:type="dcterms:W3CDTF">2025-04-30T04:09:55Z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8E4AD719C9A841D9A1BB3DA15DFE599C_13</vt:lpwstr>
  </property>
  <property fmtid="{D5CDD505-2E9C-101B-9397-08002B2CF9AE}" pid="4" name="KSOTemplateDocerSaveRecord">
    <vt:lpwstr>eyJoZGlkIjoiMzA3ZDc4Mjg5NTY3ZDNkZDAyMmQ3NjMzMTM0NDNiZTkiLCJ1c2VySWQiOiI0Nzg0MzI5MDcifQ==</vt:lpwstr>
  </property>
</Properties>
</file>