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85" w:rsidRPr="00B44185" w:rsidRDefault="00B44185" w:rsidP="00B44185">
      <w:pPr>
        <w:shd w:val="clear" w:color="auto" w:fill="FFFFFF"/>
        <w:wordWrap w:val="0"/>
        <w:adjustRightInd/>
        <w:snapToGrid/>
        <w:spacing w:after="0"/>
        <w:rPr>
          <w:rFonts w:ascii="微软雅黑" w:hAnsi="微软雅黑" w:cs="宋体"/>
          <w:sz w:val="27"/>
          <w:szCs w:val="27"/>
        </w:rPr>
      </w:pPr>
      <w:r w:rsidRPr="00B44185">
        <w:rPr>
          <w:rFonts w:ascii="微软雅黑" w:hAnsi="微软雅黑" w:cs="宋体" w:hint="eastAsia"/>
          <w:sz w:val="27"/>
          <w:szCs w:val="27"/>
        </w:rPr>
        <w:t>项目背景：  </w:t>
      </w:r>
      <w:r w:rsidRPr="00B44185">
        <w:rPr>
          <w:rFonts w:ascii="微软雅黑" w:hAnsi="微软雅黑" w:cs="宋体" w:hint="eastAsia"/>
          <w:sz w:val="27"/>
          <w:szCs w:val="27"/>
        </w:rPr>
        <w:br/>
        <w:t>湛江市临床医学研究所生物信息学分析平台高性能计算集群和一体化标准机房于2021年投入使用，现机房相关设备的售后维保服务期满，需购买维保服务以保障系统的稳定运行，现拟采购高性能计算集群和机房一年的整体维保。</w:t>
      </w:r>
    </w:p>
    <w:p w:rsidR="00C10875" w:rsidRDefault="00C10875" w:rsidP="00B44185">
      <w:pPr>
        <w:shd w:val="clear" w:color="auto" w:fill="FFFFFF"/>
        <w:wordWrap w:val="0"/>
        <w:adjustRightInd/>
        <w:snapToGrid/>
        <w:spacing w:after="0"/>
        <w:rPr>
          <w:rFonts w:ascii="微软雅黑" w:hAnsi="微软雅黑" w:cs="宋体" w:hint="eastAsia"/>
          <w:sz w:val="27"/>
          <w:szCs w:val="27"/>
        </w:rPr>
      </w:pPr>
    </w:p>
    <w:p w:rsidR="00B44185" w:rsidRPr="00B44185" w:rsidRDefault="00B44185" w:rsidP="00B44185">
      <w:pPr>
        <w:shd w:val="clear" w:color="auto" w:fill="FFFFFF"/>
        <w:wordWrap w:val="0"/>
        <w:adjustRightInd/>
        <w:snapToGrid/>
        <w:spacing w:after="0"/>
        <w:rPr>
          <w:rFonts w:ascii="微软雅黑" w:hAnsi="微软雅黑" w:cs="宋体"/>
          <w:sz w:val="27"/>
          <w:szCs w:val="27"/>
        </w:rPr>
      </w:pPr>
      <w:r w:rsidRPr="00B44185">
        <w:rPr>
          <w:rFonts w:ascii="微软雅黑" w:hAnsi="微软雅黑" w:cs="宋体" w:hint="eastAsia"/>
          <w:sz w:val="27"/>
          <w:szCs w:val="27"/>
        </w:rPr>
        <w:t>总系统需求说明: </w:t>
      </w:r>
      <w:r w:rsidRPr="00B44185">
        <w:rPr>
          <w:rFonts w:ascii="微软雅黑" w:hAnsi="微软雅黑" w:cs="宋体" w:hint="eastAsia"/>
          <w:sz w:val="27"/>
          <w:szCs w:val="27"/>
        </w:rPr>
        <w:br/>
        <w:t>湛江市临床医学研究所生物信息学分析平台高性能计算集群和一体化标准机房需要的运维服务包含硬件设备和软件，具体清单如下：</w:t>
      </w:r>
    </w:p>
    <w:tbl>
      <w:tblPr>
        <w:tblW w:w="117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1872"/>
        <w:gridCol w:w="2457"/>
        <w:gridCol w:w="6786"/>
        <w:gridCol w:w="585"/>
      </w:tblGrid>
      <w:tr w:rsidR="00B44185" w:rsidRPr="00B44185" w:rsidTr="00B44185">
        <w:trPr>
          <w:trHeight w:val="26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硬件系统</w:t>
            </w:r>
          </w:p>
        </w:tc>
      </w:tr>
      <w:tr w:rsidR="00B44185" w:rsidRPr="00B44185" w:rsidTr="00B44185">
        <w:trPr>
          <w:trHeight w:val="780"/>
        </w:trPr>
        <w:tc>
          <w:tcPr>
            <w:tcW w:w="800" w:type="pc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登录/管理节点</w:t>
            </w:r>
          </w:p>
        </w:tc>
        <w:tc>
          <w:tcPr>
            <w:tcW w:w="10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Thinksystem SR650</w:t>
            </w:r>
          </w:p>
        </w:tc>
        <w:tc>
          <w:tcPr>
            <w:tcW w:w="29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CPU：2*Intel Xeon G4216 16C 100W 2.1GHz 处理器；</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内存：4*32G ECC DDR4 2933，采用六通道配置；硬盘：2块600GB 10K磁盘；2x100GbE/EDR IB卡；</w:t>
            </w:r>
          </w:p>
        </w:tc>
        <w:tc>
          <w:tcPr>
            <w:tcW w:w="150" w:type="pct"/>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w:t>
            </w:r>
          </w:p>
        </w:tc>
      </w:tr>
      <w:tr w:rsidR="00B44185" w:rsidRPr="00B44185" w:rsidTr="00B44185">
        <w:trPr>
          <w:trHeight w:val="1275"/>
        </w:trPr>
        <w:tc>
          <w:tcPr>
            <w:tcW w:w="800" w:type="pc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CPU计算单元</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Thinksystem SD530</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刀片机箱，冗余风扇电源：</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2*Intel Xeon Gold 6230N 20C 125W 2.3GHz 处理器</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内存：12*16G ECC DDR4 2933，采用六通道配置；硬盘：480GB企业级SSD盘；1块IB卡；</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8</w:t>
            </w:r>
          </w:p>
        </w:tc>
      </w:tr>
      <w:tr w:rsidR="00B44185" w:rsidRPr="00B44185" w:rsidTr="00B44185">
        <w:trPr>
          <w:trHeight w:val="260"/>
        </w:trPr>
        <w:tc>
          <w:tcPr>
            <w:tcW w:w="800" w:type="pct"/>
            <w:vMerge w:val="restar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网络设备</w:t>
            </w: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Mellanox SB7890</w:t>
            </w:r>
          </w:p>
        </w:tc>
        <w:tc>
          <w:tcPr>
            <w:tcW w:w="290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36Port EDR 100Gb/s Infiniband智能交换机，配置足量线缆</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G7025</w:t>
            </w:r>
          </w:p>
        </w:tc>
        <w:tc>
          <w:tcPr>
            <w:tcW w:w="290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48Port 1Gb千兆交换机，配置足量线缆</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520"/>
        </w:trPr>
        <w:tc>
          <w:tcPr>
            <w:tcW w:w="800" w:type="pc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高性能存储</w:t>
            </w: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DSS-240</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高性能存储包含656TB裸容量（配置满2PB时预计IO读写性能超过15GB/s），IB接口，并行文件系统</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260"/>
        </w:trPr>
        <w:tc>
          <w:tcPr>
            <w:tcW w:w="800" w:type="pct"/>
            <w:vMerge w:val="restar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配套硬件</w:t>
            </w: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标准机柜</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42U机柜，冗余PDU,</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KVM</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KVM和液晶显示套件</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2080"/>
        </w:trPr>
        <w:tc>
          <w:tcPr>
            <w:tcW w:w="800" w:type="pct"/>
            <w:vMerge w:val="restar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lastRenderedPageBreak/>
              <w:t>软件系统</w:t>
            </w: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集群管理软件</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联想智能超算平台LiCO</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 ＊ 集群操作：WEB图形界面/并行命令/用户管理等</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 ＊ 健康监控：提供集群的健康状态监控</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 ＊ 作业调度：提供集群作业调度策略及管理：支持LSF/PBS/SLURM</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 ＊ 计费管理：提供对计费账户充值、扣款及汇率修改等管理功能</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 ＊ 系统部署：提供对集群系统软件的快速部署和自动配置</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8</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集群操作系统</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CentOS 6.x</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130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编译器及数学库&amp;并行环境</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Intel® Parallel Studio XE Cluster Edition for Linux, commercial edition</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*Intel C/C++/Fortran,MKL,TBB,IPP、Advisor、Inspector、Vtune、MPI、Trace tool</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OpenMPI, MPICH, MVAPICH/MVAPICH2等并行环境</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1040"/>
        </w:trPr>
        <w:tc>
          <w:tcPr>
            <w:tcW w:w="800" w:type="pct"/>
            <w:vMerge w:val="restart"/>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系统服务</w:t>
            </w: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安装调试服务</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硬件系统，集群软件系统，客户软件系统安装调试服务，确认硬件系统工作正常，网络通讯正常，确认软件正常工作，协助用户安装调试常用的CAE应用软件，并协助编写集成到作业调度系统的接口程序</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18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售后支持服务</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硬件保修服务，提供原厂上门保修服务，包括免费电话咨询、免费备件更换及免费现场支持服务，提供原厂商售后服务承诺函，3年7x24小时内上门保修服务、4小时内响应即售后技术支持服务；</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软件技术支持，软件系统3年咨询服务，集群系统搭建、集成、性能调优等，协助用户安装调试编译主流应用软件；</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提供三年集群维护服务，每季度巡检、原厂相关专家现场交流</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r w:rsidR="00B44185" w:rsidRPr="00B44185" w:rsidTr="00B44185">
        <w:trPr>
          <w:trHeight w:val="130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技术培训</w:t>
            </w:r>
          </w:p>
        </w:tc>
        <w:tc>
          <w:tcPr>
            <w:tcW w:w="2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原厂相关专家≥1天关于系统安装配置、系统调试、操作使用、运行维护、故障排除等硬件方面知识的培训；</w:t>
            </w:r>
            <w:r w:rsidRPr="00B44185">
              <w:rPr>
                <w:rFonts w:ascii="Calibri" w:eastAsia="宋体" w:hAnsi="Calibri" w:cs="Times New Roman"/>
                <w:sz w:val="21"/>
                <w:szCs w:val="21"/>
                <w:bdr w:val="none" w:sz="0" w:space="0" w:color="auto" w:frame="1"/>
              </w:rPr>
              <w:br/>
            </w:r>
            <w:r w:rsidRPr="00B44185">
              <w:rPr>
                <w:rFonts w:ascii="宋体" w:eastAsia="宋体" w:hAnsi="宋体" w:cs="Times New Roman" w:hint="eastAsia"/>
                <w:sz w:val="20"/>
                <w:u w:val="single"/>
              </w:rPr>
              <w:t>原厂相关专家≥2天关于软件：软件结构、调度软件、集群软件、并行文件系统，系统日常维护、操作、流程、定制开发及升级等软件方面知识的培训；系统总价</w:t>
            </w:r>
          </w:p>
        </w:tc>
        <w:tc>
          <w:tcPr>
            <w:tcW w:w="150"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r>
    </w:tbl>
    <w:p w:rsidR="00B44185" w:rsidRPr="00B44185" w:rsidRDefault="00B44185" w:rsidP="00B44185">
      <w:pPr>
        <w:adjustRightInd/>
        <w:snapToGrid/>
        <w:spacing w:after="0"/>
        <w:rPr>
          <w:rFonts w:ascii="宋体" w:eastAsia="宋体" w:hAnsi="宋体" w:cs="宋体"/>
          <w:vanish/>
          <w:sz w:val="24"/>
          <w:szCs w:val="24"/>
        </w:rPr>
      </w:pPr>
    </w:p>
    <w:tbl>
      <w:tblPr>
        <w:tblW w:w="117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1755"/>
        <w:gridCol w:w="1287"/>
        <w:gridCol w:w="3978"/>
        <w:gridCol w:w="702"/>
        <w:gridCol w:w="1053"/>
        <w:gridCol w:w="2925"/>
      </w:tblGrid>
      <w:tr w:rsidR="00B44185" w:rsidRPr="00B44185" w:rsidTr="00B44185">
        <w:trPr>
          <w:trHeight w:val="26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系统外围设备</w:t>
            </w:r>
          </w:p>
        </w:tc>
      </w:tr>
      <w:tr w:rsidR="00B44185" w:rsidRPr="00B44185" w:rsidTr="00B44185">
        <w:trPr>
          <w:trHeight w:val="260"/>
        </w:trPr>
        <w:tc>
          <w:tcPr>
            <w:tcW w:w="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lastRenderedPageBreak/>
              <w:t>编号</w:t>
            </w:r>
          </w:p>
        </w:tc>
        <w:tc>
          <w:tcPr>
            <w:tcW w:w="5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产品名称</w:t>
            </w:r>
          </w:p>
        </w:tc>
        <w:tc>
          <w:tcPr>
            <w:tcW w:w="17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规格型号</w:t>
            </w:r>
          </w:p>
        </w:tc>
        <w:tc>
          <w:tcPr>
            <w:tcW w:w="3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数量</w:t>
            </w:r>
          </w:p>
        </w:tc>
        <w:tc>
          <w:tcPr>
            <w:tcW w:w="4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单位</w:t>
            </w:r>
          </w:p>
        </w:tc>
        <w:tc>
          <w:tcPr>
            <w:tcW w:w="11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备注</w:t>
            </w:r>
          </w:p>
        </w:tc>
      </w:tr>
      <w:tr w:rsidR="00B44185" w:rsidRPr="00B44185" w:rsidTr="00B44185">
        <w:trPr>
          <w:trHeight w:val="260"/>
        </w:trPr>
        <w:tc>
          <w:tcPr>
            <w:tcW w:w="750" w:type="pct"/>
            <w:vMerge w:val="restar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机房装饰</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铝扣天花</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600mm*600mm</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16</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m2</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含安装配件</w:t>
            </w:r>
          </w:p>
        </w:tc>
      </w:tr>
      <w:tr w:rsidR="00B44185" w:rsidRPr="00B44185" w:rsidTr="00B44185">
        <w:trPr>
          <w:trHeight w:val="520"/>
        </w:trPr>
        <w:tc>
          <w:tcPr>
            <w:tcW w:w="0" w:type="auto"/>
            <w:vMerge/>
            <w:tcBorders>
              <w:top w:val="nil"/>
              <w:left w:val="single" w:sz="8" w:space="0" w:color="000000"/>
              <w:bottom w:val="nil"/>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防静电地板</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600mm*600mm*35mm、无边</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16</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m2</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预留5-7个标准机柜空间，以备未来扩容</w:t>
            </w:r>
          </w:p>
        </w:tc>
      </w:tr>
      <w:tr w:rsidR="00B44185" w:rsidRPr="00B44185" w:rsidTr="00B44185">
        <w:trPr>
          <w:trHeight w:val="260"/>
        </w:trPr>
        <w:tc>
          <w:tcPr>
            <w:tcW w:w="75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UPS电源系统</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UPS 电源</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3C3 PRO-60KS</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台</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三进三出/60KVA</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电池</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100Ah/12V</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64</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节</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后备30-60分钟</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机柜式电池柜</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订制</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个</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电池开关箱</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施耐德250A开关</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电池开关及连接线</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RV70mm2电缆</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260"/>
        </w:trPr>
        <w:tc>
          <w:tcPr>
            <w:tcW w:w="75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机柜及桥架系统</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网格桥架（强电用）</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200mm*50mm</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18</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含安装配件</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网格桥架（网络用）</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300mm*50mm</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16</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含安装配件</w:t>
            </w:r>
          </w:p>
        </w:tc>
      </w:tr>
      <w:tr w:rsidR="00B44185" w:rsidRPr="00B44185" w:rsidTr="00B44185">
        <w:trPr>
          <w:trHeight w:val="1300"/>
        </w:trPr>
        <w:tc>
          <w:tcPr>
            <w:tcW w:w="75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配电系统</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精密配电列头柜</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300*1100*20000mm</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含UPS输入、输出开关及维修旁路开关、分路输出开关、空调开关、防雷器等（采用施耐德开关）</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ZR-YJV4*70mm2+1*35mm2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总市电输入</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ZR-YJV4*35mm2+1*25mm2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UPS输入、输出电缆</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ZR-YJV4*16mm2+1*10mm2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精密空调电缆</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分路电缆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ZR-RVV3*6mm2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100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每机柜两路</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分路电缆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ZR-RVV3*4mm2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50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每机柜两路</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分路电缆</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ZR-BV2.5mm2</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300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米</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灯、插座</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LED格栅灯盘</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3*11W</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10</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600*600mm</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灯开关面板</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双联单控</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插座</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二三插</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7</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IEC309防脱扣插座</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220V/32A</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22</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每机柜两个</w:t>
            </w:r>
          </w:p>
        </w:tc>
      </w:tr>
      <w:tr w:rsidR="00B44185" w:rsidRPr="00B44185" w:rsidTr="00B44185">
        <w:trPr>
          <w:trHeight w:val="26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IEC309防脱扣插座</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220V/16A</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4</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每机柜两个</w:t>
            </w:r>
          </w:p>
        </w:tc>
      </w:tr>
      <w:tr w:rsidR="00B44185" w:rsidRPr="00B44185" w:rsidTr="00B44185">
        <w:trPr>
          <w:trHeight w:val="29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其它施工配件</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项</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r w:rsidR="00B44185" w:rsidRPr="00B44185" w:rsidTr="00B44185">
        <w:trPr>
          <w:trHeight w:val="1300"/>
        </w:trPr>
        <w:tc>
          <w:tcPr>
            <w:tcW w:w="75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空调系统</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精密空调</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25KW</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变频恒温恒湿精密空调、25KW、300*1100*20000mm、水平送风，要求国际一线品牌</w:t>
            </w:r>
          </w:p>
        </w:tc>
      </w:tr>
      <w:tr w:rsidR="00B44185" w:rsidRPr="00B44185" w:rsidTr="00B44185">
        <w:trPr>
          <w:trHeight w:val="5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44185" w:rsidRPr="00B44185" w:rsidRDefault="00B44185" w:rsidP="00B44185">
            <w:pPr>
              <w:adjustRightInd/>
              <w:snapToGrid/>
              <w:spacing w:after="0"/>
              <w:rPr>
                <w:rFonts w:ascii="Times New Roman" w:eastAsia="宋体"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精密空调安装</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2</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项</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单程20米铜管、保温、电源线、机座等</w:t>
            </w:r>
          </w:p>
        </w:tc>
      </w:tr>
      <w:tr w:rsidR="00B44185" w:rsidRPr="00B44185" w:rsidTr="00B44185">
        <w:trPr>
          <w:trHeight w:val="260"/>
        </w:trPr>
        <w:tc>
          <w:tcPr>
            <w:tcW w:w="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b/>
                <w:bCs/>
                <w:sz w:val="20"/>
                <w:u w:val="single"/>
              </w:rPr>
              <w:t>消防系统</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气体消防系统</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柜式七氟丙烷自动灭火系统</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1</w:t>
            </w:r>
          </w:p>
        </w:tc>
        <w:tc>
          <w:tcPr>
            <w:tcW w:w="4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宋体" w:eastAsia="宋体" w:hAnsi="宋体" w:cs="Times New Roman" w:hint="eastAsia"/>
                <w:sz w:val="20"/>
                <w:u w:val="single"/>
              </w:rPr>
              <w:t>套</w:t>
            </w:r>
          </w:p>
        </w:tc>
        <w:tc>
          <w:tcPr>
            <w:tcW w:w="1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4185" w:rsidRPr="00B44185" w:rsidRDefault="00B44185" w:rsidP="00B44185">
            <w:pPr>
              <w:wordWrap w:val="0"/>
              <w:adjustRightInd/>
              <w:snapToGrid/>
              <w:spacing w:after="0"/>
              <w:jc w:val="both"/>
              <w:rPr>
                <w:rFonts w:ascii="Times New Roman" w:eastAsia="宋体" w:hAnsi="Times New Roman" w:cs="Times New Roman"/>
                <w:sz w:val="20"/>
                <w:szCs w:val="20"/>
              </w:rPr>
            </w:pPr>
            <w:r w:rsidRPr="00B44185">
              <w:rPr>
                <w:rFonts w:ascii="Times New Roman" w:eastAsia="宋体" w:hAnsi="Times New Roman" w:cs="Times New Roman"/>
                <w:sz w:val="20"/>
                <w:szCs w:val="20"/>
              </w:rPr>
              <w:t> </w:t>
            </w:r>
          </w:p>
        </w:tc>
      </w:tr>
    </w:tbl>
    <w:p w:rsidR="00B44185" w:rsidRPr="00B44185" w:rsidRDefault="00B44185" w:rsidP="00B44185">
      <w:pPr>
        <w:shd w:val="clear" w:color="auto" w:fill="FFFFFF"/>
        <w:wordWrap w:val="0"/>
        <w:adjustRightInd/>
        <w:snapToGrid/>
        <w:spacing w:after="0"/>
        <w:rPr>
          <w:rFonts w:ascii="微软雅黑" w:hAnsi="微软雅黑" w:cs="宋体"/>
          <w:sz w:val="27"/>
          <w:szCs w:val="27"/>
        </w:rPr>
      </w:pPr>
      <w:r w:rsidRPr="00B44185">
        <w:rPr>
          <w:rFonts w:ascii="微软雅黑" w:hAnsi="微软雅黑" w:cs="宋体" w:hint="eastAsia"/>
          <w:sz w:val="27"/>
          <w:szCs w:val="27"/>
        </w:rPr>
        <w:t>四、服务要求: </w:t>
      </w:r>
      <w:r w:rsidRPr="00B44185">
        <w:rPr>
          <w:rFonts w:ascii="微软雅黑" w:hAnsi="微软雅黑" w:cs="宋体" w:hint="eastAsia"/>
          <w:sz w:val="27"/>
          <w:szCs w:val="27"/>
        </w:rPr>
        <w:br/>
        <w:t>具体维保需求如下:</w:t>
      </w:r>
      <w:r w:rsidRPr="00B44185">
        <w:rPr>
          <w:rFonts w:ascii="微软雅黑" w:hAnsi="微软雅黑" w:cs="宋体" w:hint="eastAsia"/>
          <w:sz w:val="27"/>
          <w:szCs w:val="27"/>
        </w:rPr>
        <w:br/>
        <w:t>1、硬件保修服务:提供高性能计算集群(含登录/管理节点、计算节点、存储节点以及网络设备等)和机房(含供配电系统、照明系统、UPS、精密空调、新/排风系统、动力环境监控系统、门禁安保系统、消防系统等)硬件设备1年7x24小时原厂或不低于原厂服务质量的上门保修服务，包括免费电话咨询、免费备件更换及免费现场支持服务，并提供原厂商授权合作伙伴的售后服务支持承诺函或不低于原厂技术水平的服务支持证明。</w:t>
      </w:r>
      <w:r w:rsidRPr="00B44185">
        <w:rPr>
          <w:rFonts w:ascii="微软雅黑" w:hAnsi="微软雅黑" w:cs="宋体" w:hint="eastAsia"/>
          <w:sz w:val="27"/>
          <w:szCs w:val="27"/>
        </w:rPr>
        <w:br/>
        <w:t>2、软件技术支持:提供1年7x24小时软件系统技术支持服务，包括集群系统搭建、集成、性能调优以及协助用户安装、调试、编译主流应用软件等。</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3、系统和培训服务:提供每季度巡检，定期更新管理员手册和用户手册定期针对集群使用中遇到的问题进行远程培训和原厂相关专家现场交流。</w:t>
      </w:r>
      <w:r w:rsidRPr="00B44185">
        <w:rPr>
          <w:rFonts w:ascii="微软雅黑" w:hAnsi="微软雅黑" w:cs="宋体" w:hint="eastAsia"/>
          <w:sz w:val="27"/>
          <w:szCs w:val="27"/>
        </w:rPr>
        <w:br/>
        <w:t>且投标人必须协助采购人完成但不仅限于以下软件及其衍生版本的安装与调试，清单如下：</w:t>
      </w:r>
      <w:r w:rsidRPr="00B44185">
        <w:rPr>
          <w:rFonts w:ascii="微软雅黑" w:hAnsi="微软雅黑" w:cs="宋体" w:hint="eastAsia"/>
          <w:sz w:val="27"/>
          <w:szCs w:val="27"/>
        </w:rPr>
        <w:br/>
        <w:t>Annovar</w:t>
      </w:r>
      <w:r w:rsidRPr="00B44185">
        <w:rPr>
          <w:rFonts w:ascii="微软雅黑" w:hAnsi="微软雅黑" w:cs="宋体" w:hint="eastAsia"/>
          <w:sz w:val="27"/>
          <w:szCs w:val="27"/>
        </w:rPr>
        <w:br/>
        <w:t>apache-ant</w:t>
      </w:r>
      <w:r w:rsidRPr="00B44185">
        <w:rPr>
          <w:rFonts w:ascii="微软雅黑" w:hAnsi="微软雅黑" w:cs="宋体" w:hint="eastAsia"/>
          <w:sz w:val="27"/>
          <w:szCs w:val="27"/>
        </w:rPr>
        <w:br/>
        <w:t>BAMStats</w:t>
      </w:r>
      <w:r w:rsidRPr="00B44185">
        <w:rPr>
          <w:rFonts w:ascii="微软雅黑" w:hAnsi="微软雅黑" w:cs="宋体" w:hint="eastAsia"/>
          <w:sz w:val="27"/>
          <w:szCs w:val="27"/>
        </w:rPr>
        <w:br/>
        <w:t>bamtools</w:t>
      </w:r>
      <w:r w:rsidRPr="00B44185">
        <w:rPr>
          <w:rFonts w:ascii="微软雅黑" w:hAnsi="微软雅黑" w:cs="宋体" w:hint="eastAsia"/>
          <w:sz w:val="27"/>
          <w:szCs w:val="27"/>
        </w:rPr>
        <w:br/>
        <w:t>bcl2fastq</w:t>
      </w:r>
      <w:r w:rsidRPr="00B44185">
        <w:rPr>
          <w:rFonts w:ascii="微软雅黑" w:hAnsi="微软雅黑" w:cs="宋体" w:hint="eastAsia"/>
          <w:sz w:val="27"/>
          <w:szCs w:val="27"/>
        </w:rPr>
        <w:br/>
        <w:t>bedtools</w:t>
      </w:r>
      <w:r w:rsidRPr="00B44185">
        <w:rPr>
          <w:rFonts w:ascii="微软雅黑" w:hAnsi="微软雅黑" w:cs="宋体" w:hint="eastAsia"/>
          <w:sz w:val="27"/>
          <w:szCs w:val="27"/>
        </w:rPr>
        <w:br/>
        <w:t>bedtools2</w:t>
      </w:r>
      <w:r w:rsidRPr="00B44185">
        <w:rPr>
          <w:rFonts w:ascii="微软雅黑" w:hAnsi="微软雅黑" w:cs="宋体" w:hint="eastAsia"/>
          <w:sz w:val="27"/>
          <w:szCs w:val="27"/>
        </w:rPr>
        <w:br/>
        <w:t>binaries</w:t>
      </w:r>
      <w:r w:rsidRPr="00B44185">
        <w:rPr>
          <w:rFonts w:ascii="微软雅黑" w:hAnsi="微软雅黑" w:cs="宋体" w:hint="eastAsia"/>
          <w:sz w:val="27"/>
          <w:szCs w:val="27"/>
        </w:rPr>
        <w:br/>
        <w:t>blasr</w:t>
      </w:r>
      <w:r w:rsidRPr="00B44185">
        <w:rPr>
          <w:rFonts w:ascii="微软雅黑" w:hAnsi="微软雅黑" w:cs="宋体" w:hint="eastAsia"/>
          <w:sz w:val="27"/>
          <w:szCs w:val="27"/>
        </w:rPr>
        <w:br/>
        <w:t>blast</w:t>
      </w:r>
      <w:r w:rsidRPr="00B44185">
        <w:rPr>
          <w:rFonts w:ascii="微软雅黑" w:hAnsi="微软雅黑" w:cs="宋体" w:hint="eastAsia"/>
          <w:sz w:val="27"/>
          <w:szCs w:val="27"/>
        </w:rPr>
        <w:br/>
        <w:t>blat</w:t>
      </w:r>
      <w:r w:rsidRPr="00B44185">
        <w:rPr>
          <w:rFonts w:ascii="微软雅黑" w:hAnsi="微软雅黑" w:cs="宋体" w:hint="eastAsia"/>
          <w:sz w:val="27"/>
          <w:szCs w:val="27"/>
        </w:rPr>
        <w:br/>
        <w:t>blue</w:t>
      </w:r>
      <w:r w:rsidRPr="00B44185">
        <w:rPr>
          <w:rFonts w:ascii="微软雅黑" w:hAnsi="微软雅黑" w:cs="宋体" w:hint="eastAsia"/>
          <w:sz w:val="27"/>
          <w:szCs w:val="27"/>
        </w:rPr>
        <w:br/>
        <w:t>boost</w:t>
      </w:r>
      <w:r w:rsidRPr="00B44185">
        <w:rPr>
          <w:rFonts w:ascii="微软雅黑" w:hAnsi="微软雅黑" w:cs="宋体" w:hint="eastAsia"/>
          <w:sz w:val="27"/>
          <w:szCs w:val="27"/>
        </w:rPr>
        <w:br/>
        <w:t>bowtie</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Burrows-Wheeler Aligner</w:t>
      </w:r>
      <w:r w:rsidRPr="00B44185">
        <w:rPr>
          <w:rFonts w:ascii="微软雅黑" w:hAnsi="微软雅黑" w:cs="宋体" w:hint="eastAsia"/>
          <w:sz w:val="27"/>
          <w:szCs w:val="27"/>
        </w:rPr>
        <w:br/>
        <w:t>Circos</w:t>
      </w:r>
      <w:r w:rsidRPr="00B44185">
        <w:rPr>
          <w:rFonts w:ascii="微软雅黑" w:hAnsi="微软雅黑" w:cs="宋体" w:hint="eastAsia"/>
          <w:sz w:val="27"/>
          <w:szCs w:val="27"/>
        </w:rPr>
        <w:br/>
        <w:t>clustal omega</w:t>
      </w:r>
      <w:r w:rsidRPr="00B44185">
        <w:rPr>
          <w:rFonts w:ascii="微软雅黑" w:hAnsi="微软雅黑" w:cs="宋体" w:hint="eastAsia"/>
          <w:sz w:val="27"/>
          <w:szCs w:val="27"/>
        </w:rPr>
        <w:br/>
        <w:t>clustalw</w:t>
      </w:r>
      <w:r w:rsidRPr="00B44185">
        <w:rPr>
          <w:rFonts w:ascii="微软雅黑" w:hAnsi="微软雅黑" w:cs="宋体" w:hint="eastAsia"/>
          <w:sz w:val="27"/>
          <w:szCs w:val="27"/>
        </w:rPr>
        <w:br/>
        <w:t>Cluster</w:t>
      </w:r>
      <w:r w:rsidRPr="00B44185">
        <w:rPr>
          <w:rFonts w:ascii="微软雅黑" w:hAnsi="微软雅黑" w:cs="宋体" w:hint="eastAsia"/>
          <w:sz w:val="27"/>
          <w:szCs w:val="27"/>
        </w:rPr>
        <w:br/>
        <w:t>cmake</w:t>
      </w:r>
      <w:r w:rsidRPr="00B44185">
        <w:rPr>
          <w:rFonts w:ascii="微软雅黑" w:hAnsi="微软雅黑" w:cs="宋体" w:hint="eastAsia"/>
          <w:sz w:val="27"/>
          <w:szCs w:val="27"/>
        </w:rPr>
        <w:br/>
        <w:t>Config-General</w:t>
      </w:r>
      <w:r w:rsidRPr="00B44185">
        <w:rPr>
          <w:rFonts w:ascii="微软雅黑" w:hAnsi="微软雅黑" w:cs="宋体" w:hint="eastAsia"/>
          <w:sz w:val="27"/>
          <w:szCs w:val="27"/>
        </w:rPr>
        <w:br/>
        <w:t>COPE</w:t>
      </w:r>
      <w:r w:rsidRPr="00B44185">
        <w:rPr>
          <w:rFonts w:ascii="微软雅黑" w:hAnsi="微软雅黑" w:cs="宋体" w:hint="eastAsia"/>
          <w:sz w:val="27"/>
          <w:szCs w:val="27"/>
        </w:rPr>
        <w:br/>
        <w:t>cpat</w:t>
      </w:r>
      <w:r w:rsidRPr="00B44185">
        <w:rPr>
          <w:rFonts w:ascii="微软雅黑" w:hAnsi="微软雅黑" w:cs="宋体" w:hint="eastAsia"/>
          <w:sz w:val="27"/>
          <w:szCs w:val="27"/>
        </w:rPr>
        <w:br/>
        <w:t>cramtools</w:t>
      </w:r>
      <w:r w:rsidRPr="00B44185">
        <w:rPr>
          <w:rFonts w:ascii="微软雅黑" w:hAnsi="微软雅黑" w:cs="宋体" w:hint="eastAsia"/>
          <w:sz w:val="27"/>
          <w:szCs w:val="27"/>
        </w:rPr>
        <w:br/>
        <w:t>cufflinks</w:t>
      </w:r>
      <w:r w:rsidRPr="00B44185">
        <w:rPr>
          <w:rFonts w:ascii="微软雅黑" w:hAnsi="微软雅黑" w:cs="宋体" w:hint="eastAsia"/>
          <w:sz w:val="27"/>
          <w:szCs w:val="27"/>
        </w:rPr>
        <w:br/>
        <w:t>cutadapt</w:t>
      </w:r>
      <w:r w:rsidRPr="00B44185">
        <w:rPr>
          <w:rFonts w:ascii="微软雅黑" w:hAnsi="微软雅黑" w:cs="宋体" w:hint="eastAsia"/>
          <w:sz w:val="27"/>
          <w:szCs w:val="27"/>
        </w:rPr>
        <w:br/>
        <w:t>Cytoscape</w:t>
      </w:r>
      <w:r w:rsidRPr="00B44185">
        <w:rPr>
          <w:rFonts w:ascii="微软雅黑" w:hAnsi="微软雅黑" w:cs="宋体" w:hint="eastAsia"/>
          <w:sz w:val="27"/>
          <w:szCs w:val="27"/>
        </w:rPr>
        <w:br/>
        <w:t>eigenstrat</w:t>
      </w:r>
      <w:r w:rsidRPr="00B44185">
        <w:rPr>
          <w:rFonts w:ascii="微软雅黑" w:hAnsi="微软雅黑" w:cs="宋体" w:hint="eastAsia"/>
          <w:sz w:val="27"/>
          <w:szCs w:val="27"/>
        </w:rPr>
        <w:br/>
        <w:t>Emboss</w:t>
      </w:r>
      <w:r w:rsidRPr="00B44185">
        <w:rPr>
          <w:rFonts w:ascii="微软雅黑" w:hAnsi="微软雅黑" w:cs="宋体" w:hint="eastAsia"/>
          <w:sz w:val="27"/>
          <w:szCs w:val="27"/>
        </w:rPr>
        <w:br/>
        <w:t>fastq_screen</w:t>
      </w:r>
      <w:r w:rsidRPr="00B44185">
        <w:rPr>
          <w:rFonts w:ascii="微软雅黑" w:hAnsi="微软雅黑" w:cs="宋体" w:hint="eastAsia"/>
          <w:sz w:val="27"/>
          <w:szCs w:val="27"/>
        </w:rPr>
        <w:br/>
        <w:t>fastQC</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FASTX</w:t>
      </w:r>
      <w:r w:rsidRPr="00B44185">
        <w:rPr>
          <w:rFonts w:ascii="微软雅黑" w:hAnsi="微软雅黑" w:cs="宋体" w:hint="eastAsia"/>
          <w:sz w:val="27"/>
          <w:szCs w:val="27"/>
        </w:rPr>
        <w:br/>
        <w:t>fastx_toolkit</w:t>
      </w:r>
      <w:r w:rsidRPr="00B44185">
        <w:rPr>
          <w:rFonts w:ascii="微软雅黑" w:hAnsi="微软雅黑" w:cs="宋体" w:hint="eastAsia"/>
          <w:sz w:val="27"/>
          <w:szCs w:val="27"/>
        </w:rPr>
        <w:br/>
        <w:t>FLASH</w:t>
      </w:r>
      <w:r w:rsidRPr="00B44185">
        <w:rPr>
          <w:rFonts w:ascii="微软雅黑" w:hAnsi="微软雅黑" w:cs="宋体" w:hint="eastAsia"/>
          <w:sz w:val="27"/>
          <w:szCs w:val="27"/>
        </w:rPr>
        <w:br/>
        <w:t>Genome Analysis Toolkit（GATK）</w:t>
      </w:r>
      <w:r w:rsidRPr="00B44185">
        <w:rPr>
          <w:rFonts w:ascii="微软雅黑" w:hAnsi="微软雅黑" w:cs="宋体" w:hint="eastAsia"/>
          <w:sz w:val="27"/>
          <w:szCs w:val="27"/>
        </w:rPr>
        <w:br/>
        <w:t>HISAT</w:t>
      </w:r>
      <w:r w:rsidRPr="00B44185">
        <w:rPr>
          <w:rFonts w:ascii="微软雅黑" w:hAnsi="微软雅黑" w:cs="宋体" w:hint="eastAsia"/>
          <w:sz w:val="27"/>
          <w:szCs w:val="27"/>
        </w:rPr>
        <w:br/>
        <w:t>HMMER</w:t>
      </w:r>
      <w:r w:rsidRPr="00B44185">
        <w:rPr>
          <w:rFonts w:ascii="微软雅黑" w:hAnsi="微软雅黑" w:cs="宋体" w:hint="eastAsia"/>
          <w:sz w:val="27"/>
          <w:szCs w:val="27"/>
        </w:rPr>
        <w:br/>
        <w:t>Homer</w:t>
      </w:r>
      <w:r w:rsidRPr="00B44185">
        <w:rPr>
          <w:rFonts w:ascii="微软雅黑" w:hAnsi="微软雅黑" w:cs="宋体" w:hint="eastAsia"/>
          <w:sz w:val="27"/>
          <w:szCs w:val="27"/>
        </w:rPr>
        <w:br/>
        <w:t>htseq</w:t>
      </w:r>
      <w:r w:rsidRPr="00B44185">
        <w:rPr>
          <w:rFonts w:ascii="微软雅黑" w:hAnsi="微软雅黑" w:cs="宋体" w:hint="eastAsia"/>
          <w:sz w:val="27"/>
          <w:szCs w:val="27"/>
        </w:rPr>
        <w:br/>
        <w:t>IgBLAST</w:t>
      </w:r>
      <w:r w:rsidRPr="00B44185">
        <w:rPr>
          <w:rFonts w:ascii="微软雅黑" w:hAnsi="微软雅黑" w:cs="宋体" w:hint="eastAsia"/>
          <w:sz w:val="27"/>
          <w:szCs w:val="27"/>
        </w:rPr>
        <w:br/>
        <w:t>IGVTools</w:t>
      </w:r>
      <w:r w:rsidRPr="00B44185">
        <w:rPr>
          <w:rFonts w:ascii="微软雅黑" w:hAnsi="微软雅黑" w:cs="宋体" w:hint="eastAsia"/>
          <w:sz w:val="27"/>
          <w:szCs w:val="27"/>
        </w:rPr>
        <w:br/>
        <w:t>JAVA</w:t>
      </w:r>
      <w:r w:rsidRPr="00B44185">
        <w:rPr>
          <w:rFonts w:ascii="微软雅黑" w:hAnsi="微软雅黑" w:cs="宋体" w:hint="eastAsia"/>
          <w:sz w:val="27"/>
          <w:szCs w:val="27"/>
        </w:rPr>
        <w:br/>
        <w:t>MACS</w:t>
      </w:r>
      <w:r w:rsidRPr="00B44185">
        <w:rPr>
          <w:rFonts w:ascii="微软雅黑" w:hAnsi="微软雅黑" w:cs="宋体" w:hint="eastAsia"/>
          <w:sz w:val="27"/>
          <w:szCs w:val="27"/>
        </w:rPr>
        <w:br/>
        <w:t>MACS2</w:t>
      </w:r>
      <w:r w:rsidRPr="00B44185">
        <w:rPr>
          <w:rFonts w:ascii="微软雅黑" w:hAnsi="微软雅黑" w:cs="宋体" w:hint="eastAsia"/>
          <w:sz w:val="27"/>
          <w:szCs w:val="27"/>
        </w:rPr>
        <w:br/>
        <w:t>MAFFT</w:t>
      </w:r>
      <w:r w:rsidRPr="00B44185">
        <w:rPr>
          <w:rFonts w:ascii="微软雅黑" w:hAnsi="微软雅黑" w:cs="宋体" w:hint="eastAsia"/>
          <w:sz w:val="27"/>
          <w:szCs w:val="27"/>
        </w:rPr>
        <w:br/>
        <w:t>MATLAB</w:t>
      </w:r>
      <w:r w:rsidRPr="00B44185">
        <w:rPr>
          <w:rFonts w:ascii="微软雅黑" w:hAnsi="微软雅黑" w:cs="宋体" w:hint="eastAsia"/>
          <w:sz w:val="27"/>
          <w:szCs w:val="27"/>
        </w:rPr>
        <w:br/>
        <w:t>miRDeep2</w:t>
      </w:r>
      <w:r w:rsidRPr="00B44185">
        <w:rPr>
          <w:rFonts w:ascii="微软雅黑" w:hAnsi="微软雅黑" w:cs="宋体" w:hint="eastAsia"/>
          <w:sz w:val="27"/>
          <w:szCs w:val="27"/>
        </w:rPr>
        <w:br/>
        <w:t>MISO</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MUSCLE</w:t>
      </w:r>
      <w:r w:rsidRPr="00B44185">
        <w:rPr>
          <w:rFonts w:ascii="微软雅黑" w:hAnsi="微软雅黑" w:cs="宋体" w:hint="eastAsia"/>
          <w:sz w:val="27"/>
          <w:szCs w:val="27"/>
        </w:rPr>
        <w:br/>
        <w:t>mySQL server</w:t>
      </w:r>
      <w:r w:rsidRPr="00B44185">
        <w:rPr>
          <w:rFonts w:ascii="微软雅黑" w:hAnsi="微软雅黑" w:cs="宋体" w:hint="eastAsia"/>
          <w:sz w:val="27"/>
          <w:szCs w:val="27"/>
        </w:rPr>
        <w:br/>
        <w:t>ncbi-blast</w:t>
      </w:r>
      <w:r w:rsidRPr="00B44185">
        <w:rPr>
          <w:rFonts w:ascii="微软雅黑" w:hAnsi="微软雅黑" w:cs="宋体" w:hint="eastAsia"/>
          <w:sz w:val="27"/>
          <w:szCs w:val="27"/>
        </w:rPr>
        <w:br/>
        <w:t>omixion</w:t>
      </w:r>
      <w:r w:rsidRPr="00B44185">
        <w:rPr>
          <w:rFonts w:ascii="微软雅黑" w:hAnsi="微软雅黑" w:cs="宋体" w:hint="eastAsia"/>
          <w:sz w:val="27"/>
          <w:szCs w:val="27"/>
        </w:rPr>
        <w:br/>
        <w:t>PAML</w:t>
      </w:r>
      <w:r w:rsidRPr="00B44185">
        <w:rPr>
          <w:rFonts w:ascii="微软雅黑" w:hAnsi="微软雅黑" w:cs="宋体" w:hint="eastAsia"/>
          <w:sz w:val="27"/>
          <w:szCs w:val="27"/>
        </w:rPr>
        <w:br/>
        <w:t>pandaseq</w:t>
      </w:r>
      <w:r w:rsidRPr="00B44185">
        <w:rPr>
          <w:rFonts w:ascii="微软雅黑" w:hAnsi="微软雅黑" w:cs="宋体" w:hint="eastAsia"/>
          <w:sz w:val="27"/>
          <w:szCs w:val="27"/>
        </w:rPr>
        <w:br/>
        <w:t>pca</w:t>
      </w:r>
      <w:r w:rsidRPr="00B44185">
        <w:rPr>
          <w:rFonts w:ascii="微软雅黑" w:hAnsi="微软雅黑" w:cs="宋体" w:hint="eastAsia"/>
          <w:sz w:val="27"/>
          <w:szCs w:val="27"/>
        </w:rPr>
        <w:br/>
        <w:t>PeakSplitter</w:t>
      </w:r>
      <w:r w:rsidRPr="00B44185">
        <w:rPr>
          <w:rFonts w:ascii="微软雅黑" w:hAnsi="微软雅黑" w:cs="宋体" w:hint="eastAsia"/>
          <w:sz w:val="27"/>
          <w:szCs w:val="27"/>
        </w:rPr>
        <w:br/>
        <w:t>PEAR</w:t>
      </w:r>
      <w:r w:rsidRPr="00B44185">
        <w:rPr>
          <w:rFonts w:ascii="微软雅黑" w:hAnsi="微软雅黑" w:cs="宋体" w:hint="eastAsia"/>
          <w:sz w:val="27"/>
          <w:szCs w:val="27"/>
        </w:rPr>
        <w:br/>
        <w:t>Penncnv</w:t>
      </w:r>
      <w:r w:rsidRPr="00B44185">
        <w:rPr>
          <w:rFonts w:ascii="微软雅黑" w:hAnsi="微软雅黑" w:cs="宋体" w:hint="eastAsia"/>
          <w:sz w:val="27"/>
          <w:szCs w:val="27"/>
        </w:rPr>
        <w:br/>
        <w:t>perl</w:t>
      </w:r>
      <w:r w:rsidRPr="00B44185">
        <w:rPr>
          <w:rFonts w:ascii="微软雅黑" w:hAnsi="微软雅黑" w:cs="宋体" w:hint="eastAsia"/>
          <w:sz w:val="27"/>
          <w:szCs w:val="27"/>
        </w:rPr>
        <w:br/>
        <w:t>PHP</w:t>
      </w:r>
      <w:r w:rsidRPr="00B44185">
        <w:rPr>
          <w:rFonts w:ascii="微软雅黑" w:hAnsi="微软雅黑" w:cs="宋体" w:hint="eastAsia"/>
          <w:sz w:val="27"/>
          <w:szCs w:val="27"/>
        </w:rPr>
        <w:br/>
        <w:t>PHYLIP</w:t>
      </w:r>
      <w:r w:rsidRPr="00B44185">
        <w:rPr>
          <w:rFonts w:ascii="微软雅黑" w:hAnsi="微软雅黑" w:cs="宋体" w:hint="eastAsia"/>
          <w:sz w:val="27"/>
          <w:szCs w:val="27"/>
        </w:rPr>
        <w:br/>
        <w:t>picard</w:t>
      </w:r>
      <w:r w:rsidRPr="00B44185">
        <w:rPr>
          <w:rFonts w:ascii="微软雅黑" w:hAnsi="微软雅黑" w:cs="宋体" w:hint="eastAsia"/>
          <w:sz w:val="27"/>
          <w:szCs w:val="27"/>
        </w:rPr>
        <w:br/>
        <w:t>Picard-tools</w:t>
      </w:r>
      <w:r w:rsidRPr="00B44185">
        <w:rPr>
          <w:rFonts w:ascii="微软雅黑" w:hAnsi="微软雅黑" w:cs="宋体" w:hint="eastAsia"/>
          <w:sz w:val="27"/>
          <w:szCs w:val="27"/>
        </w:rPr>
        <w:br/>
        <w:t>pindel</w:t>
      </w:r>
      <w:r w:rsidRPr="00B44185">
        <w:rPr>
          <w:rFonts w:ascii="微软雅黑" w:hAnsi="微软雅黑" w:cs="宋体" w:hint="eastAsia"/>
          <w:sz w:val="27"/>
          <w:szCs w:val="27"/>
        </w:rPr>
        <w:br/>
        <w:t>pip</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Plink</w:t>
      </w:r>
      <w:r w:rsidRPr="00B44185">
        <w:rPr>
          <w:rFonts w:ascii="微软雅黑" w:hAnsi="微软雅黑" w:cs="宋体" w:hint="eastAsia"/>
          <w:sz w:val="27"/>
          <w:szCs w:val="27"/>
        </w:rPr>
        <w:br/>
        <w:t>Python</w:t>
      </w:r>
      <w:r w:rsidRPr="00B44185">
        <w:rPr>
          <w:rFonts w:ascii="微软雅黑" w:hAnsi="微软雅黑" w:cs="宋体" w:hint="eastAsia"/>
          <w:sz w:val="27"/>
          <w:szCs w:val="27"/>
        </w:rPr>
        <w:br/>
        <w:t>R</w:t>
      </w:r>
      <w:r w:rsidRPr="00B44185">
        <w:rPr>
          <w:rFonts w:ascii="微软雅黑" w:hAnsi="微软雅黑" w:cs="宋体" w:hint="eastAsia"/>
          <w:sz w:val="27"/>
          <w:szCs w:val="27"/>
        </w:rPr>
        <w:br/>
        <w:t>RepeatMasker</w:t>
      </w:r>
      <w:r w:rsidRPr="00B44185">
        <w:rPr>
          <w:rFonts w:ascii="微软雅黑" w:hAnsi="微软雅黑" w:cs="宋体" w:hint="eastAsia"/>
          <w:sz w:val="27"/>
          <w:szCs w:val="27"/>
        </w:rPr>
        <w:br/>
        <w:t>rMATS</w:t>
      </w:r>
      <w:r w:rsidRPr="00B44185">
        <w:rPr>
          <w:rFonts w:ascii="微软雅黑" w:hAnsi="微软雅黑" w:cs="宋体" w:hint="eastAsia"/>
          <w:sz w:val="27"/>
          <w:szCs w:val="27"/>
        </w:rPr>
        <w:br/>
        <w:t>rmblastn</w:t>
      </w:r>
      <w:r w:rsidRPr="00B44185">
        <w:rPr>
          <w:rFonts w:ascii="微软雅黑" w:hAnsi="微软雅黑" w:cs="宋体" w:hint="eastAsia"/>
          <w:sz w:val="27"/>
          <w:szCs w:val="27"/>
        </w:rPr>
        <w:br/>
        <w:t>RNA-SeQC</w:t>
      </w:r>
      <w:r w:rsidRPr="00B44185">
        <w:rPr>
          <w:rFonts w:ascii="微软雅黑" w:hAnsi="微软雅黑" w:cs="宋体" w:hint="eastAsia"/>
          <w:sz w:val="27"/>
          <w:szCs w:val="27"/>
        </w:rPr>
        <w:br/>
        <w:t>RSEM</w:t>
      </w:r>
      <w:r w:rsidRPr="00B44185">
        <w:rPr>
          <w:rFonts w:ascii="微软雅黑" w:hAnsi="微软雅黑" w:cs="宋体" w:hint="eastAsia"/>
          <w:sz w:val="27"/>
          <w:szCs w:val="27"/>
        </w:rPr>
        <w:br/>
        <w:t>Rstudio (server)</w:t>
      </w:r>
      <w:r w:rsidRPr="00B44185">
        <w:rPr>
          <w:rFonts w:ascii="微软雅黑" w:hAnsi="微软雅黑" w:cs="宋体" w:hint="eastAsia"/>
          <w:sz w:val="27"/>
          <w:szCs w:val="27"/>
        </w:rPr>
        <w:br/>
        <w:t>Rsync server</w:t>
      </w:r>
      <w:r w:rsidRPr="00B44185">
        <w:rPr>
          <w:rFonts w:ascii="微软雅黑" w:hAnsi="微软雅黑" w:cs="宋体" w:hint="eastAsia"/>
          <w:sz w:val="27"/>
          <w:szCs w:val="27"/>
        </w:rPr>
        <w:br/>
        <w:t>samtools</w:t>
      </w:r>
      <w:r w:rsidRPr="00B44185">
        <w:rPr>
          <w:rFonts w:ascii="微软雅黑" w:hAnsi="微软雅黑" w:cs="宋体" w:hint="eastAsia"/>
          <w:sz w:val="27"/>
          <w:szCs w:val="27"/>
        </w:rPr>
        <w:br/>
        <w:t>SeqPrep</w:t>
      </w:r>
      <w:r w:rsidRPr="00B44185">
        <w:rPr>
          <w:rFonts w:ascii="微软雅黑" w:hAnsi="微软雅黑" w:cs="宋体" w:hint="eastAsia"/>
          <w:sz w:val="27"/>
          <w:szCs w:val="27"/>
        </w:rPr>
        <w:br/>
        <w:t>SGA-assemble</w:t>
      </w:r>
      <w:r w:rsidRPr="00B44185">
        <w:rPr>
          <w:rFonts w:ascii="微软雅黑" w:hAnsi="微软雅黑" w:cs="宋体" w:hint="eastAsia"/>
          <w:sz w:val="27"/>
          <w:szCs w:val="27"/>
        </w:rPr>
        <w:br/>
        <w:t>SOAPdenovo</w:t>
      </w:r>
      <w:r w:rsidRPr="00B44185">
        <w:rPr>
          <w:rFonts w:ascii="微软雅黑" w:hAnsi="微软雅黑" w:cs="宋体" w:hint="eastAsia"/>
          <w:sz w:val="27"/>
          <w:szCs w:val="27"/>
        </w:rPr>
        <w:br/>
        <w:t>SOAPdenovo2</w:t>
      </w:r>
      <w:r w:rsidRPr="00B44185">
        <w:rPr>
          <w:rFonts w:ascii="微软雅黑" w:hAnsi="微软雅黑" w:cs="宋体" w:hint="eastAsia"/>
          <w:sz w:val="27"/>
          <w:szCs w:val="27"/>
        </w:rPr>
        <w:br/>
        <w:t>SOAPsnp</w:t>
      </w:r>
      <w:r w:rsidRPr="00B44185">
        <w:rPr>
          <w:rFonts w:ascii="微软雅黑" w:hAnsi="微软雅黑" w:cs="宋体" w:hint="eastAsia"/>
          <w:sz w:val="27"/>
          <w:szCs w:val="27"/>
        </w:rPr>
        <w:br/>
        <w:t>STAR-STAR</w:t>
      </w:r>
      <w:r w:rsidRPr="00B44185">
        <w:rPr>
          <w:rFonts w:ascii="微软雅黑" w:hAnsi="微软雅黑" w:cs="宋体" w:hint="eastAsia"/>
          <w:sz w:val="27"/>
          <w:szCs w:val="27"/>
        </w:rPr>
        <w:br/>
      </w:r>
      <w:r w:rsidRPr="00B44185">
        <w:rPr>
          <w:rFonts w:ascii="微软雅黑" w:hAnsi="微软雅黑" w:cs="宋体" w:hint="eastAsia"/>
          <w:sz w:val="27"/>
          <w:szCs w:val="27"/>
        </w:rPr>
        <w:lastRenderedPageBreak/>
        <w:t>StringTie</w:t>
      </w:r>
      <w:r w:rsidRPr="00B44185">
        <w:rPr>
          <w:rFonts w:ascii="微软雅黑" w:hAnsi="微软雅黑" w:cs="宋体" w:hint="eastAsia"/>
          <w:sz w:val="27"/>
          <w:szCs w:val="27"/>
        </w:rPr>
        <w:br/>
        <w:t>TopHat</w:t>
      </w:r>
      <w:r w:rsidRPr="00B44185">
        <w:rPr>
          <w:rFonts w:ascii="微软雅黑" w:hAnsi="微软雅黑" w:cs="宋体" w:hint="eastAsia"/>
          <w:sz w:val="27"/>
          <w:szCs w:val="27"/>
        </w:rPr>
        <w:br/>
        <w:t>Trim_galore</w:t>
      </w:r>
      <w:r w:rsidRPr="00B44185">
        <w:rPr>
          <w:rFonts w:ascii="微软雅黑" w:hAnsi="微软雅黑" w:cs="宋体" w:hint="eastAsia"/>
          <w:sz w:val="27"/>
          <w:szCs w:val="27"/>
        </w:rPr>
        <w:br/>
        <w:t>Trimmomatic</w:t>
      </w:r>
      <w:r w:rsidRPr="00B44185">
        <w:rPr>
          <w:rFonts w:ascii="微软雅黑" w:hAnsi="微软雅黑" w:cs="宋体" w:hint="eastAsia"/>
          <w:sz w:val="27"/>
          <w:szCs w:val="27"/>
        </w:rPr>
        <w:br/>
        <w:t>trinity</w:t>
      </w:r>
      <w:r w:rsidRPr="00B44185">
        <w:rPr>
          <w:rFonts w:ascii="微软雅黑" w:hAnsi="微软雅黑" w:cs="宋体" w:hint="eastAsia"/>
          <w:sz w:val="27"/>
          <w:szCs w:val="27"/>
        </w:rPr>
        <w:br/>
        <w:t>trinityrnaseq</w:t>
      </w:r>
      <w:r w:rsidRPr="00B44185">
        <w:rPr>
          <w:rFonts w:ascii="微软雅黑" w:hAnsi="微软雅黑" w:cs="宋体" w:hint="eastAsia"/>
          <w:sz w:val="27"/>
          <w:szCs w:val="27"/>
        </w:rPr>
        <w:br/>
        <w:t>triplexator</w:t>
      </w:r>
      <w:r w:rsidRPr="00B44185">
        <w:rPr>
          <w:rFonts w:ascii="微软雅黑" w:hAnsi="微软雅黑" w:cs="宋体" w:hint="eastAsia"/>
          <w:sz w:val="27"/>
          <w:szCs w:val="27"/>
        </w:rPr>
        <w:br/>
        <w:t>Varid</w:t>
      </w:r>
      <w:r w:rsidRPr="00B44185">
        <w:rPr>
          <w:rFonts w:ascii="微软雅黑" w:hAnsi="微软雅黑" w:cs="宋体" w:hint="eastAsia"/>
          <w:sz w:val="27"/>
          <w:szCs w:val="27"/>
        </w:rPr>
        <w:br/>
        <w:t>VCFtools</w:t>
      </w:r>
      <w:r w:rsidRPr="00B44185">
        <w:rPr>
          <w:rFonts w:ascii="微软雅黑" w:hAnsi="微软雅黑" w:cs="宋体" w:hint="eastAsia"/>
          <w:sz w:val="27"/>
          <w:szCs w:val="27"/>
        </w:rPr>
        <w:br/>
        <w:t>ViennaRNA</w:t>
      </w:r>
      <w:r w:rsidRPr="00B44185">
        <w:rPr>
          <w:rFonts w:ascii="微软雅黑" w:hAnsi="微软雅黑" w:cs="宋体" w:hint="eastAsia"/>
          <w:sz w:val="27"/>
          <w:szCs w:val="27"/>
        </w:rPr>
        <w:br/>
        <w:t>Wise2</w:t>
      </w:r>
      <w:r w:rsidRPr="00B44185">
        <w:rPr>
          <w:rFonts w:ascii="微软雅黑" w:hAnsi="微软雅黑" w:cs="宋体" w:hint="eastAsia"/>
          <w:sz w:val="27"/>
          <w:szCs w:val="27"/>
        </w:rPr>
        <w:br/>
        <w:t>impute2</w:t>
      </w:r>
      <w:r w:rsidRPr="00B44185">
        <w:rPr>
          <w:rFonts w:ascii="微软雅黑" w:hAnsi="微软雅黑" w:cs="宋体" w:hint="eastAsia"/>
          <w:sz w:val="27"/>
          <w:szCs w:val="27"/>
        </w:rPr>
        <w:br/>
        <w:t>haploviewer</w:t>
      </w:r>
    </w:p>
    <w:p w:rsidR="004358AB" w:rsidRDefault="004358AB" w:rsidP="00D31D50">
      <w:pPr>
        <w:spacing w:line="220" w:lineRule="atLeast"/>
        <w:rPr>
          <w:rFonts w:hint="eastAsia"/>
        </w:rPr>
      </w:pP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商务</w:t>
      </w:r>
      <w:r w:rsidRPr="00C10875">
        <w:rPr>
          <w:rFonts w:ascii="微软雅黑" w:hAnsi="微软雅黑" w:cs="宋体" w:hint="eastAsia"/>
          <w:sz w:val="27"/>
          <w:szCs w:val="27"/>
        </w:rPr>
        <w:t>服务要求</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1.1本项目建设应符合国家标准及行业标准的各项要求，并且应符合甲方在招标文件提出计算机集群及系统运维要求（包括且不限于招标文件提及的内容）及项目服务要求，以及乙方在投标文件中的各项条款响应承诺。</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lastRenderedPageBreak/>
        <w:t>1.2实施周期：合同签订后，自项目人员熟悉场地后，正式开始运维服务之日开始计算。</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1.3实施地点：甲方指定地点。</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1.4售后服务要求</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1.4.1软件质保维护期：  1  年，自中标人项目人员正式开始运维工作且招标人对中标人的运维工作质量认可后开始计算；</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硬件维保要求：硬件设备硬件质保   1   年。硬件设备保修   1   年不收取任何维护费用。</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1.4.2乙方提供内容全面、保障措施有力、针对性和可操作性强的售后服务方案，为甲方提供不限于以下技术支持服务：</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 xml:space="preserve">1.4.2.1提供7×24小时服务，做到全方位响应，如发生系统故障，业务恢复时限   2   小时，故障响应时间  60 分钟，重大故障处理时限不超过24小时修复。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1.4.2.2质保维护期/保修期过后，同样提供免费电话咨询服务。</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1.4.3服务方式：</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 xml:space="preserve">1.4.3.1提供即时通讯技术服务支持：通过QQ群、微信群或7*24*365的全天候技术支持电话热线等即时通讯工具，设定技术服务对象机构和用户，使用户可以更加安全、便捷地与工程技术支持服务中心进行互动沟通，提高技术支持服务中心的服务效率。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lastRenderedPageBreak/>
        <w:t xml:space="preserve">1.4.3.2提供现场技术支持服务：对于不能通过电话解决的问题，将安排技术工程师在4小时内到达甲方现场提供现场技术服务，保证故障解决。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1.4.3.3提供远程网络支持服务：设立专业技术服务小组，可利用网络，提供远程协助服务，可以提供更为快捷的故障响应，同时也为派驻现场的技术服务人员提供更全面的技术支撑。</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培训要求</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 xml:space="preserve">2.1培训方案：需要针对所列产品提供完备的培训方案和课程。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 xml:space="preserve">2.2培训对象：培训内容应针对软、硬件的开发和管理、运行与维护管理、用户使用等分类进行。通过培训应使各类用户能独立进行相应应用与管理、故障处理、日常维护等工作，确保计算机集群、系统能正常安全运行。乙方在实施前提出培训计划，计划包括培训项目、对象、内容和方式等详细内容。培训人员必须是乙方的正式雇员或专业的授权培训机构雇员。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 xml:space="preserve">2.3培训内容：对计算机集群、系统管理与维护的技术人员进行培训，保证计算机集群、系统管理与维护人员能对计算机集群、系统及客户端常见的一般性问题进行及时有效的处理，保障计算机集群及系统持续稳定运行，培训内容包括：一般性的故障诊断、定位和排除等日常维护方法；计算机集群及系统的初始化和主要参数的设定；在使用过程中常见问题的处理。 </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文档交付要求</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lastRenderedPageBreak/>
        <w:t>项目运维应严格按照国家软件工程规范进行，在整个项目实施过程中，须根据开发进度，按照医院要求及时提供用户相关技术文档，包括但不限于以下文档，如项目设有监理，则需按监理具体要求提交。</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1、准备阶段：《保密协议（公司及个人）》《需求调研报告》、《实施方案》；</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2、实施阶段：《项目整体运行报告》、《运维月报》；</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3、过程文档：《培训计划》、《培训记录》、《用户培训手册及教材》；</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服务过程监控与质量保障</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4.1服务标准确认：</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乙方应根据合同约定的服务范围、响应等级及甲方具体需求，制定《运维服务执行方案》并附服务文档清单（含运维计划、巡检记录、故障处理报告等），提交甲方审核确认后作为服务执行依据。</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4.2.运维期：</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4.2.1为保证项目质量，甲方有权在项目实施过程中对乙方的安装、调试等工作进行监督，组织审定项目实施进度计划，对整个项目的服务内容进行核准认定，共同对建设工作进行各项测试。</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4.2.2中标人提供的服务如不达合同所约定的要求，招标方有权按照合同条款追究责任及有权中止合约并进一步追究违约责任。</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lastRenderedPageBreak/>
        <w:t>4.3付款方式：</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合同签订后分二期付款，项目服务进行三个月，医院方对服务质量进行评定，若运维服务符合要求且得到用户确认后，支付合同总额40%；项目服务期满，扣除项目人员在运维工作中造成的罚金后，运维服务符合要求且得到用户确认后，支付合同总额60%.</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配合医院信息网络安全及完成上级指令性任务相关工作的要求</w:t>
      </w:r>
    </w:p>
    <w:p w:rsidR="00C10875" w:rsidRPr="00C10875" w:rsidRDefault="00C10875" w:rsidP="00C10875">
      <w:pPr>
        <w:spacing w:line="220" w:lineRule="atLeast"/>
        <w:rPr>
          <w:rFonts w:ascii="微软雅黑" w:hAnsi="微软雅黑" w:cs="宋体" w:hint="eastAsia"/>
          <w:sz w:val="27"/>
          <w:szCs w:val="27"/>
        </w:rPr>
      </w:pPr>
      <w:r w:rsidRPr="00C10875">
        <w:rPr>
          <w:rFonts w:ascii="微软雅黑" w:hAnsi="微软雅黑" w:cs="宋体" w:hint="eastAsia"/>
          <w:sz w:val="27"/>
          <w:szCs w:val="27"/>
        </w:rPr>
        <w:t>在建设及维护期内需无条件配合甲方网络安全等级保护测评2级及以上的测评及整改工作，满足高水平医院信息化管理及智慧评级要求；</w:t>
      </w:r>
    </w:p>
    <w:p w:rsidR="00C10875" w:rsidRPr="00C10875" w:rsidRDefault="00C10875" w:rsidP="00C10875">
      <w:pPr>
        <w:spacing w:line="220" w:lineRule="atLeast"/>
        <w:rPr>
          <w:rFonts w:ascii="微软雅黑" w:hAnsi="微软雅黑" w:cs="宋体"/>
          <w:sz w:val="27"/>
          <w:szCs w:val="27"/>
        </w:rPr>
      </w:pPr>
      <w:r w:rsidRPr="00C10875">
        <w:rPr>
          <w:rFonts w:ascii="微软雅黑" w:hAnsi="微软雅黑" w:cs="宋体" w:hint="eastAsia"/>
          <w:sz w:val="27"/>
          <w:szCs w:val="27"/>
        </w:rPr>
        <w:t>注意：以上工作所产生的费用均已包含在本项目合同金额内，中标人不得以任何理由拒绝配合或向采购人收取费用。</w:t>
      </w:r>
    </w:p>
    <w:sectPr w:rsidR="00C10875" w:rsidRPr="00C10875" w:rsidSect="00B44185">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DC" w:rsidRDefault="008550DC" w:rsidP="00B44185">
      <w:pPr>
        <w:spacing w:after="0"/>
      </w:pPr>
      <w:r>
        <w:separator/>
      </w:r>
    </w:p>
  </w:endnote>
  <w:endnote w:type="continuationSeparator" w:id="0">
    <w:p w:rsidR="008550DC" w:rsidRDefault="008550DC" w:rsidP="00B441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DC" w:rsidRDefault="008550DC" w:rsidP="00B44185">
      <w:pPr>
        <w:spacing w:after="0"/>
      </w:pPr>
      <w:r>
        <w:separator/>
      </w:r>
    </w:p>
  </w:footnote>
  <w:footnote w:type="continuationSeparator" w:id="0">
    <w:p w:rsidR="008550DC" w:rsidRDefault="008550DC" w:rsidP="00B4418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C30B2"/>
    <w:rsid w:val="003D37D8"/>
    <w:rsid w:val="00426133"/>
    <w:rsid w:val="004358AB"/>
    <w:rsid w:val="008550DC"/>
    <w:rsid w:val="008713D5"/>
    <w:rsid w:val="008B7726"/>
    <w:rsid w:val="00943738"/>
    <w:rsid w:val="00B44185"/>
    <w:rsid w:val="00C1087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1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4185"/>
    <w:rPr>
      <w:rFonts w:ascii="Tahoma" w:hAnsi="Tahoma"/>
      <w:sz w:val="18"/>
      <w:szCs w:val="18"/>
    </w:rPr>
  </w:style>
  <w:style w:type="paragraph" w:styleId="a4">
    <w:name w:val="footer"/>
    <w:basedOn w:val="a"/>
    <w:link w:val="Char0"/>
    <w:uiPriority w:val="99"/>
    <w:semiHidden/>
    <w:unhideWhenUsed/>
    <w:rsid w:val="00B44185"/>
    <w:pPr>
      <w:tabs>
        <w:tab w:val="center" w:pos="4153"/>
        <w:tab w:val="right" w:pos="8306"/>
      </w:tabs>
    </w:pPr>
    <w:rPr>
      <w:sz w:val="18"/>
      <w:szCs w:val="18"/>
    </w:rPr>
  </w:style>
  <w:style w:type="character" w:customStyle="1" w:styleId="Char0">
    <w:name w:val="页脚 Char"/>
    <w:basedOn w:val="a0"/>
    <w:link w:val="a4"/>
    <w:uiPriority w:val="99"/>
    <w:semiHidden/>
    <w:rsid w:val="00B44185"/>
    <w:rPr>
      <w:rFonts w:ascii="Tahoma" w:hAnsi="Tahoma"/>
      <w:sz w:val="18"/>
      <w:szCs w:val="18"/>
    </w:rPr>
  </w:style>
  <w:style w:type="paragraph" w:styleId="a5">
    <w:name w:val="Normal (Web)"/>
    <w:basedOn w:val="a"/>
    <w:uiPriority w:val="99"/>
    <w:unhideWhenUsed/>
    <w:rsid w:val="00B44185"/>
    <w:pPr>
      <w:adjustRightInd/>
      <w:snapToGrid/>
      <w:spacing w:before="100" w:beforeAutospacing="1" w:after="100" w:afterAutospacing="1"/>
    </w:pPr>
    <w:rPr>
      <w:rFonts w:ascii="宋体" w:eastAsia="宋体" w:hAnsi="宋体" w:cs="宋体"/>
      <w:sz w:val="24"/>
      <w:szCs w:val="24"/>
    </w:rPr>
  </w:style>
  <w:style w:type="character" w:customStyle="1" w:styleId="msoins0">
    <w:name w:val="msoins"/>
    <w:basedOn w:val="a0"/>
    <w:rsid w:val="00B44185"/>
  </w:style>
</w:styles>
</file>

<file path=word/webSettings.xml><?xml version="1.0" encoding="utf-8"?>
<w:webSettings xmlns:r="http://schemas.openxmlformats.org/officeDocument/2006/relationships" xmlns:w="http://schemas.openxmlformats.org/wordprocessingml/2006/main">
  <w:divs>
    <w:div w:id="17509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林明</cp:lastModifiedBy>
  <cp:revision>3</cp:revision>
  <dcterms:created xsi:type="dcterms:W3CDTF">2025-02-26T08:50:00Z</dcterms:created>
  <dcterms:modified xsi:type="dcterms:W3CDTF">2025-02-26T09:03:00Z</dcterms:modified>
</cp:coreProperties>
</file>